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16" w:rsidRPr="001F0848" w:rsidRDefault="00730516" w:rsidP="001F0848">
      <w:pPr>
        <w:jc w:val="center"/>
        <w:outlineLvl w:val="0"/>
        <w:rPr>
          <w:b/>
        </w:rPr>
      </w:pPr>
      <w:r w:rsidRPr="001F0848">
        <w:rPr>
          <w:b/>
        </w:rPr>
        <w:t>Methodology</w:t>
      </w:r>
    </w:p>
    <w:p w:rsidR="00730516" w:rsidRPr="001F0848" w:rsidRDefault="00730516" w:rsidP="001F0848">
      <w:pPr>
        <w:jc w:val="center"/>
        <w:outlineLvl w:val="0"/>
        <w:rPr>
          <w:b/>
        </w:rPr>
      </w:pPr>
      <w:r w:rsidRPr="001F0848">
        <w:rPr>
          <w:b/>
        </w:rPr>
        <w:t xml:space="preserve">Determination of </w:t>
      </w:r>
      <w:r w:rsidR="00294E33" w:rsidRPr="001F0848">
        <w:rPr>
          <w:b/>
        </w:rPr>
        <w:t>20</w:t>
      </w:r>
      <w:r w:rsidR="00E90C4A">
        <w:rPr>
          <w:b/>
        </w:rPr>
        <w:t>20</w:t>
      </w:r>
      <w:r w:rsidRPr="001F0848">
        <w:rPr>
          <w:b/>
        </w:rPr>
        <w:t xml:space="preserve"> Premium</w:t>
      </w:r>
      <w:r w:rsidR="00D00742" w:rsidRPr="001F0848">
        <w:rPr>
          <w:b/>
        </w:rPr>
        <w:t xml:space="preserve"> Rate</w:t>
      </w:r>
      <w:r w:rsidRPr="001F0848">
        <w:rPr>
          <w:b/>
        </w:rPr>
        <w:t>s for</w:t>
      </w:r>
    </w:p>
    <w:p w:rsidR="00730516" w:rsidRPr="001F0848" w:rsidRDefault="00730516" w:rsidP="001F0848">
      <w:pPr>
        <w:jc w:val="center"/>
        <w:rPr>
          <w:b/>
        </w:rPr>
      </w:pPr>
      <w:r w:rsidRPr="001F0848">
        <w:rPr>
          <w:b/>
        </w:rPr>
        <w:t>TRICARE Reserve Select</w:t>
      </w:r>
    </w:p>
    <w:p w:rsidR="00730516" w:rsidRPr="001F0848" w:rsidRDefault="00730516" w:rsidP="001F0848">
      <w:pPr>
        <w:ind w:firstLine="720"/>
      </w:pPr>
    </w:p>
    <w:p w:rsidR="00730516" w:rsidRPr="001F0848" w:rsidRDefault="00963F9D" w:rsidP="001F0848">
      <w:pPr>
        <w:spacing w:after="240"/>
      </w:pPr>
      <w:r w:rsidRPr="001F0848">
        <w:t>C</w:t>
      </w:r>
      <w:r w:rsidR="00730516" w:rsidRPr="001F0848">
        <w:t xml:space="preserve">alendar </w:t>
      </w:r>
      <w:r w:rsidR="00953AE1" w:rsidRPr="001F0848">
        <w:t>Y</w:t>
      </w:r>
      <w:r w:rsidR="00730516" w:rsidRPr="001F0848">
        <w:t xml:space="preserve">ear </w:t>
      </w:r>
      <w:r w:rsidRPr="001F0848">
        <w:t xml:space="preserve">(CY) </w:t>
      </w:r>
      <w:r w:rsidR="00294E33" w:rsidRPr="001F0848">
        <w:t>20</w:t>
      </w:r>
      <w:r w:rsidR="00E90C4A">
        <w:t>20</w:t>
      </w:r>
      <w:r w:rsidR="00730516" w:rsidRPr="001F0848">
        <w:t xml:space="preserve"> </w:t>
      </w:r>
      <w:r w:rsidR="00FC7E3C" w:rsidRPr="001F0848">
        <w:t xml:space="preserve">TRICARE Reserve Select (TRS) </w:t>
      </w:r>
      <w:r w:rsidR="00730516" w:rsidRPr="001F0848">
        <w:t xml:space="preserve">premium </w:t>
      </w:r>
      <w:r w:rsidR="00BF6255" w:rsidRPr="001F0848">
        <w:t>rates</w:t>
      </w:r>
      <w:r w:rsidR="000626C7" w:rsidRPr="001F0848">
        <w:t xml:space="preserve"> </w:t>
      </w:r>
      <w:r w:rsidR="0028170D">
        <w:t>were</w:t>
      </w:r>
      <w:r w:rsidRPr="001F0848">
        <w:t xml:space="preserve"> </w:t>
      </w:r>
      <w:r w:rsidR="007156E5" w:rsidRPr="001F0848">
        <w:t xml:space="preserve">calculated from enrollment-weighted average annual costs from </w:t>
      </w:r>
      <w:r w:rsidRPr="001F0848">
        <w:t>CY</w:t>
      </w:r>
      <w:r w:rsidR="00953AE1" w:rsidRPr="001F0848">
        <w:t xml:space="preserve"> </w:t>
      </w:r>
      <w:r w:rsidRPr="001F0848">
        <w:t>20</w:t>
      </w:r>
      <w:r w:rsidR="005C0116" w:rsidRPr="001F0848">
        <w:t>1</w:t>
      </w:r>
      <w:r w:rsidR="00E90C4A">
        <w:t>7</w:t>
      </w:r>
      <w:r w:rsidRPr="001F0848">
        <w:t xml:space="preserve"> </w:t>
      </w:r>
      <w:r w:rsidR="0028170D">
        <w:t>and</w:t>
      </w:r>
      <w:r w:rsidRPr="001F0848">
        <w:t xml:space="preserve"> CY</w:t>
      </w:r>
      <w:r w:rsidR="00953AE1" w:rsidRPr="001F0848">
        <w:t xml:space="preserve"> </w:t>
      </w:r>
      <w:r w:rsidRPr="001F0848">
        <w:t>20</w:t>
      </w:r>
      <w:r w:rsidR="005C0116" w:rsidRPr="001F0848">
        <w:t>1</w:t>
      </w:r>
      <w:r w:rsidR="00E90C4A">
        <w:t>8</w:t>
      </w:r>
      <w:r w:rsidR="00492B1B" w:rsidRPr="001F0848">
        <w:t xml:space="preserve"> (base period)</w:t>
      </w:r>
      <w:r w:rsidR="00BF6255" w:rsidRPr="001F0848">
        <w:t>.</w:t>
      </w:r>
    </w:p>
    <w:p w:rsidR="00730516" w:rsidRPr="001F0848" w:rsidRDefault="00730516" w:rsidP="001F0848">
      <w:pPr>
        <w:numPr>
          <w:ilvl w:val="0"/>
          <w:numId w:val="10"/>
        </w:numPr>
        <w:spacing w:after="240"/>
      </w:pPr>
      <w:r w:rsidRPr="001F0848">
        <w:t xml:space="preserve">Identified all </w:t>
      </w:r>
      <w:r w:rsidR="00FC7E3C" w:rsidRPr="001F0848">
        <w:t xml:space="preserve">TRS </w:t>
      </w:r>
      <w:r w:rsidRPr="001F0848">
        <w:t xml:space="preserve">enrollees by </w:t>
      </w:r>
      <w:r w:rsidR="00410C70">
        <w:t>plan type (member-only coverage or member and family)</w:t>
      </w:r>
      <w:r w:rsidR="00963F9D" w:rsidRPr="001F0848">
        <w:t xml:space="preserve"> in each of the 24 m</w:t>
      </w:r>
      <w:bookmarkStart w:id="0" w:name="_GoBack"/>
      <w:bookmarkEnd w:id="0"/>
      <w:r w:rsidR="00963F9D" w:rsidRPr="001F0848">
        <w:t xml:space="preserve">onths from January </w:t>
      </w:r>
      <w:r w:rsidR="005C0116" w:rsidRPr="001F0848">
        <w:t xml:space="preserve">1, </w:t>
      </w:r>
      <w:r w:rsidR="00963F9D" w:rsidRPr="001F0848">
        <w:t>20</w:t>
      </w:r>
      <w:r w:rsidR="005C0116" w:rsidRPr="001F0848">
        <w:t>1</w:t>
      </w:r>
      <w:r w:rsidR="00E90C4A">
        <w:t>7</w:t>
      </w:r>
      <w:r w:rsidR="00080C9B">
        <w:t>,</w:t>
      </w:r>
      <w:r w:rsidR="00963F9D" w:rsidRPr="001F0848">
        <w:t xml:space="preserve"> </w:t>
      </w:r>
      <w:r w:rsidR="005C0116" w:rsidRPr="001F0848">
        <w:t>through</w:t>
      </w:r>
      <w:r w:rsidR="00963F9D" w:rsidRPr="001F0848">
        <w:t xml:space="preserve"> December </w:t>
      </w:r>
      <w:r w:rsidR="005C0116" w:rsidRPr="001F0848">
        <w:t xml:space="preserve">31, </w:t>
      </w:r>
      <w:r w:rsidR="00963F9D" w:rsidRPr="001F0848">
        <w:t>20</w:t>
      </w:r>
      <w:r w:rsidR="005C0116" w:rsidRPr="001F0848">
        <w:t>1</w:t>
      </w:r>
      <w:r w:rsidR="00E90C4A">
        <w:t>8</w:t>
      </w:r>
      <w:r w:rsidRPr="001F0848">
        <w:t xml:space="preserve">.  </w:t>
      </w:r>
    </w:p>
    <w:p w:rsidR="00730516" w:rsidRPr="001F0848" w:rsidRDefault="00C750C4" w:rsidP="001F0848">
      <w:pPr>
        <w:numPr>
          <w:ilvl w:val="0"/>
          <w:numId w:val="10"/>
        </w:numPr>
        <w:spacing w:after="240"/>
      </w:pPr>
      <w:r>
        <w:t xml:space="preserve">Accounted for </w:t>
      </w:r>
      <w:r w:rsidR="00DB1068">
        <w:t>family size in</w:t>
      </w:r>
      <w:r w:rsidR="00D00742" w:rsidRPr="001F0848">
        <w:t xml:space="preserve"> </w:t>
      </w:r>
      <w:r w:rsidR="00DB1068">
        <w:t xml:space="preserve">TRS </w:t>
      </w:r>
      <w:r w:rsidR="00D00742" w:rsidRPr="001F0848">
        <w:t>family plan</w:t>
      </w:r>
      <w:r w:rsidR="00992CFD">
        <w:t xml:space="preserve"> (roughly 3.7 per family plan)</w:t>
      </w:r>
      <w:r w:rsidR="00D00742" w:rsidRPr="001F0848">
        <w:t>.</w:t>
      </w:r>
      <w:r w:rsidR="00752FBC" w:rsidRPr="001F0848">
        <w:t xml:space="preserve">  </w:t>
      </w:r>
    </w:p>
    <w:p w:rsidR="00DB1068" w:rsidRDefault="00C42305" w:rsidP="005F77BF">
      <w:pPr>
        <w:numPr>
          <w:ilvl w:val="0"/>
          <w:numId w:val="10"/>
        </w:numPr>
        <w:spacing w:after="240"/>
      </w:pPr>
      <w:r>
        <w:t>Constructed</w:t>
      </w:r>
      <w:r w:rsidRPr="001F0848">
        <w:t xml:space="preserve"> </w:t>
      </w:r>
      <w:r w:rsidR="00DB1068">
        <w:t xml:space="preserve">monthly </w:t>
      </w:r>
      <w:r w:rsidR="00DB1068" w:rsidRPr="001F0848">
        <w:t xml:space="preserve">government </w:t>
      </w:r>
      <w:r>
        <w:t xml:space="preserve">TRS </w:t>
      </w:r>
      <w:r w:rsidR="00DB1068" w:rsidRPr="001F0848">
        <w:t xml:space="preserve">health care costs </w:t>
      </w:r>
      <w:r w:rsidR="00BA2A25" w:rsidRPr="001F0848">
        <w:t>(including M</w:t>
      </w:r>
      <w:r w:rsidR="00080C9B">
        <w:t xml:space="preserve">ilitary </w:t>
      </w:r>
      <w:r w:rsidR="00BA2A25" w:rsidRPr="001F0848">
        <w:t>T</w:t>
      </w:r>
      <w:r w:rsidR="00080C9B">
        <w:t xml:space="preserve">reatment </w:t>
      </w:r>
      <w:r w:rsidR="00BA2A25" w:rsidRPr="001F0848">
        <w:t>F</w:t>
      </w:r>
      <w:r w:rsidR="00080C9B">
        <w:t>acilities</w:t>
      </w:r>
      <w:r w:rsidR="00BA2A25" w:rsidRPr="001F0848">
        <w:t xml:space="preserve"> and purchased care costs)</w:t>
      </w:r>
      <w:r w:rsidR="00BA2A25">
        <w:t xml:space="preserve"> for each plan type </w:t>
      </w:r>
      <w:r w:rsidR="00DB1068" w:rsidRPr="001F0848">
        <w:t xml:space="preserve">in each of the </w:t>
      </w:r>
      <w:r w:rsidR="00DB1068">
        <w:t xml:space="preserve">base </w:t>
      </w:r>
      <w:r w:rsidR="00DB1068" w:rsidRPr="001F0848">
        <w:t>years</w:t>
      </w:r>
      <w:r w:rsidR="00BA2A25">
        <w:t xml:space="preserve"> </w:t>
      </w:r>
      <w:r>
        <w:t>and d</w:t>
      </w:r>
      <w:r w:rsidR="00DB1068" w:rsidRPr="001F0848">
        <w:t xml:space="preserve">etermined the weighted average </w:t>
      </w:r>
      <w:r w:rsidR="00BA2A25" w:rsidRPr="001F0848">
        <w:t xml:space="preserve">government health care costs </w:t>
      </w:r>
      <w:r w:rsidR="00BA2A25">
        <w:t>for</w:t>
      </w:r>
      <w:r w:rsidR="00DB1068" w:rsidRPr="001F0848">
        <w:t xml:space="preserve"> the two </w:t>
      </w:r>
      <w:r w:rsidR="00DB1068">
        <w:t xml:space="preserve">base </w:t>
      </w:r>
      <w:r w:rsidR="00DB1068" w:rsidRPr="001F0848">
        <w:t>years</w:t>
      </w:r>
      <w:r w:rsidR="00DB1068">
        <w:t xml:space="preserve"> </w:t>
      </w:r>
      <w:r w:rsidR="00DB1068" w:rsidRPr="001F0848">
        <w:t xml:space="preserve">separately by </w:t>
      </w:r>
      <w:r w:rsidR="00DB1068">
        <w:t>plan</w:t>
      </w:r>
      <w:r w:rsidR="00DB1068" w:rsidRPr="001F0848">
        <w:t xml:space="preserve"> type</w:t>
      </w:r>
      <w:r w:rsidR="00730516" w:rsidRPr="001F0848">
        <w:t xml:space="preserve">.  </w:t>
      </w:r>
    </w:p>
    <w:p w:rsidR="00730516" w:rsidRPr="001F0848" w:rsidRDefault="00C42305" w:rsidP="005F77BF">
      <w:pPr>
        <w:numPr>
          <w:ilvl w:val="0"/>
          <w:numId w:val="10"/>
        </w:numPr>
        <w:spacing w:after="240"/>
      </w:pPr>
      <w:r>
        <w:t>Constructed</w:t>
      </w:r>
      <w:r w:rsidRPr="001F0848">
        <w:t xml:space="preserve"> </w:t>
      </w:r>
      <w:r w:rsidR="00DB1068">
        <w:t xml:space="preserve">monthly </w:t>
      </w:r>
      <w:r w:rsidR="00807C0A" w:rsidRPr="001F0848">
        <w:t xml:space="preserve">TRS </w:t>
      </w:r>
      <w:r w:rsidR="00730516" w:rsidRPr="001F0848">
        <w:t>administrative costs</w:t>
      </w:r>
      <w:r w:rsidR="00DB1068" w:rsidRPr="00DB1068">
        <w:t xml:space="preserve"> </w:t>
      </w:r>
      <w:r w:rsidR="00BA2A25">
        <w:t>(</w:t>
      </w:r>
      <w:r w:rsidR="00080C9B">
        <w:t>per eligible per month</w:t>
      </w:r>
      <w:r w:rsidRPr="001F0848">
        <w:t xml:space="preserve"> and claims processing </w:t>
      </w:r>
      <w:r>
        <w:t xml:space="preserve">costs </w:t>
      </w:r>
      <w:r w:rsidR="00987A16">
        <w:t>(</w:t>
      </w:r>
      <w:r w:rsidRPr="001F0848">
        <w:t>including Retail Pharmacy</w:t>
      </w:r>
      <w:r w:rsidR="00BA2A25">
        <w:t xml:space="preserve">) </w:t>
      </w:r>
      <w:r w:rsidR="00DB1068" w:rsidRPr="001F0848">
        <w:t xml:space="preserve">in </w:t>
      </w:r>
      <w:r w:rsidR="00DB1068">
        <w:t xml:space="preserve">base </w:t>
      </w:r>
      <w:r w:rsidR="00DB1068" w:rsidRPr="001F0848">
        <w:t>year</w:t>
      </w:r>
      <w:r w:rsidR="00DB1068" w:rsidRPr="00DB1068">
        <w:t xml:space="preserve"> </w:t>
      </w:r>
      <w:r w:rsidR="00DB1068" w:rsidRPr="001F0848">
        <w:t xml:space="preserve">and determined the weighted average </w:t>
      </w:r>
      <w:r>
        <w:t xml:space="preserve">in each </w:t>
      </w:r>
      <w:r w:rsidR="00DB1068" w:rsidRPr="001F0848">
        <w:t xml:space="preserve">of the two </w:t>
      </w:r>
      <w:r w:rsidR="00DB1068">
        <w:t xml:space="preserve">base </w:t>
      </w:r>
      <w:r w:rsidR="00DB1068" w:rsidRPr="001F0848">
        <w:t>years</w:t>
      </w:r>
      <w:r w:rsidR="00DB1068">
        <w:t xml:space="preserve"> </w:t>
      </w:r>
      <w:r w:rsidR="00DB1068" w:rsidRPr="001F0848">
        <w:t xml:space="preserve">separately by </w:t>
      </w:r>
      <w:r w:rsidR="00DB1068">
        <w:t>plan</w:t>
      </w:r>
      <w:r w:rsidR="00DB1068" w:rsidRPr="001F0848">
        <w:t xml:space="preserve"> type</w:t>
      </w:r>
      <w:r w:rsidR="00807C0A" w:rsidRPr="001F0848">
        <w:t>.</w:t>
      </w:r>
      <w:r w:rsidR="00730516" w:rsidRPr="001F0848">
        <w:t xml:space="preserve">  </w:t>
      </w:r>
    </w:p>
    <w:p w:rsidR="00730516" w:rsidRPr="001F0848" w:rsidRDefault="00730516" w:rsidP="001F0848">
      <w:pPr>
        <w:numPr>
          <w:ilvl w:val="0"/>
          <w:numId w:val="10"/>
        </w:numPr>
        <w:spacing w:after="240"/>
      </w:pPr>
      <w:r w:rsidRPr="001F0848">
        <w:t xml:space="preserve">Calculated the </w:t>
      </w:r>
      <w:r w:rsidR="00DB1068">
        <w:t xml:space="preserve">total </w:t>
      </w:r>
      <w:r w:rsidR="00492B1B" w:rsidRPr="001F0848">
        <w:t>enrollment-weighted average</w:t>
      </w:r>
      <w:r w:rsidRPr="001F0848">
        <w:t xml:space="preserve"> for </w:t>
      </w:r>
      <w:r w:rsidR="00C42305">
        <w:t>each of the two base years</w:t>
      </w:r>
      <w:r w:rsidR="00492B1B" w:rsidRPr="001F0848">
        <w:t xml:space="preserve"> separately </w:t>
      </w:r>
      <w:r w:rsidR="001F0848">
        <w:br/>
      </w:r>
      <w:r w:rsidR="00492B1B" w:rsidRPr="001F0848">
        <w:t>for the two types of coverage</w:t>
      </w:r>
      <w:r w:rsidRPr="001F0848">
        <w:t xml:space="preserve"> (</w:t>
      </w:r>
      <w:r w:rsidR="00492B1B" w:rsidRPr="001F0848">
        <w:fldChar w:fldCharType="begin"/>
      </w:r>
      <w:r w:rsidR="00492B1B" w:rsidRPr="001F0848">
        <w:instrText xml:space="preserve"> REF _Ref484066428 \h </w:instrText>
      </w:r>
      <w:r w:rsidR="001F0848" w:rsidRPr="001F0848">
        <w:instrText xml:space="preserve"> \* MERGEFORMAT </w:instrText>
      </w:r>
      <w:r w:rsidR="00492B1B" w:rsidRPr="001F0848">
        <w:fldChar w:fldCharType="separate"/>
      </w:r>
      <w:r w:rsidR="00120573" w:rsidRPr="001F0848">
        <w:t xml:space="preserve">Table </w:t>
      </w:r>
      <w:r w:rsidR="00120573">
        <w:rPr>
          <w:noProof/>
        </w:rPr>
        <w:t>1</w:t>
      </w:r>
      <w:r w:rsidR="00492B1B" w:rsidRPr="001F0848">
        <w:fldChar w:fldCharType="end"/>
      </w:r>
      <w:r w:rsidR="00492B1B" w:rsidRPr="001F0848">
        <w:t>)</w:t>
      </w:r>
      <w:r w:rsidRPr="001F0848">
        <w:t xml:space="preserve">.  </w:t>
      </w:r>
    </w:p>
    <w:p w:rsidR="00FF6BEC" w:rsidRPr="001F0848" w:rsidRDefault="00E34B83" w:rsidP="00E34B83">
      <w:pPr>
        <w:numPr>
          <w:ilvl w:val="0"/>
          <w:numId w:val="10"/>
        </w:numPr>
        <w:spacing w:after="240"/>
      </w:pPr>
      <w:r w:rsidRPr="00E34B83">
        <w:rPr>
          <w:color w:val="000000"/>
        </w:rPr>
        <w:t>Applied program adjustment (0.1 percent) to account for the new cost sharing provisions that are part of the TRICARE Select benefit structure under Section 1075(d)(1) of Title 10, U.S. Code, as enacted by Section 701 of National Defense Authorization Act for Fiscal Year 2017; Public Law 114 328.</w:t>
      </w:r>
      <w:r>
        <w:rPr>
          <w:color w:val="000000"/>
        </w:rPr>
        <w:t xml:space="preserve"> </w:t>
      </w:r>
      <w:r w:rsidR="00FF6BEC" w:rsidRPr="001F0848">
        <w:t xml:space="preserve"> </w:t>
      </w:r>
    </w:p>
    <w:p w:rsidR="00730516" w:rsidRPr="001F0848" w:rsidRDefault="00730516" w:rsidP="001F0848">
      <w:pPr>
        <w:numPr>
          <w:ilvl w:val="0"/>
          <w:numId w:val="10"/>
        </w:numPr>
        <w:spacing w:after="240"/>
      </w:pPr>
      <w:r w:rsidRPr="001F0848">
        <w:t xml:space="preserve">Calculated the </w:t>
      </w:r>
      <w:r w:rsidR="00B10C78" w:rsidRPr="001F0848">
        <w:t>member</w:t>
      </w:r>
      <w:r w:rsidR="00807C0A" w:rsidRPr="001F0848">
        <w:t xml:space="preserve"> </w:t>
      </w:r>
      <w:r w:rsidRPr="001F0848">
        <w:t xml:space="preserve">shares of the total </w:t>
      </w:r>
      <w:r w:rsidR="00B10C78" w:rsidRPr="001F0848">
        <w:t xml:space="preserve">premium </w:t>
      </w:r>
      <w:r w:rsidRPr="001F0848">
        <w:t xml:space="preserve">costs for </w:t>
      </w:r>
      <w:r w:rsidR="00236584">
        <w:t>each of the two plan types</w:t>
      </w:r>
      <w:r w:rsidRPr="001F0848">
        <w:t xml:space="preserve"> by multiplying </w:t>
      </w:r>
      <w:r w:rsidR="00B10C78" w:rsidRPr="001F0848">
        <w:t xml:space="preserve">by </w:t>
      </w:r>
      <w:r w:rsidR="00807C0A" w:rsidRPr="001F0848">
        <w:t>28 percent</w:t>
      </w:r>
      <w:r w:rsidR="00B10C78" w:rsidRPr="001F0848">
        <w:t xml:space="preserve">.  </w:t>
      </w:r>
    </w:p>
    <w:p w:rsidR="00730516" w:rsidRPr="001F0848" w:rsidRDefault="00236584" w:rsidP="001F0848">
      <w:pPr>
        <w:spacing w:after="240"/>
      </w:pPr>
      <w:r w:rsidRPr="001F0848">
        <w:t xml:space="preserve">The resulting monthly </w:t>
      </w:r>
      <w:r>
        <w:t xml:space="preserve">TRS </w:t>
      </w:r>
      <w:r w:rsidRPr="001F0848">
        <w:t>premium rates for calendar year 20</w:t>
      </w:r>
      <w:r w:rsidR="00E90C4A">
        <w:t>20</w:t>
      </w:r>
      <w:r>
        <w:t xml:space="preserve"> </w:t>
      </w:r>
      <w:r w:rsidR="00036CD0">
        <w:t>(</w:t>
      </w:r>
      <w:r w:rsidR="00036CD0" w:rsidRPr="001F0848">
        <w:fldChar w:fldCharType="begin"/>
      </w:r>
      <w:r w:rsidR="00036CD0" w:rsidRPr="001F0848">
        <w:instrText xml:space="preserve"> REF _Ref484066428 \h </w:instrText>
      </w:r>
      <w:r w:rsidR="00036CD0" w:rsidRPr="001F0848">
        <w:instrText xml:space="preserve"> \* MERGEFORMAT </w:instrText>
      </w:r>
      <w:r w:rsidR="00036CD0" w:rsidRPr="001F0848">
        <w:fldChar w:fldCharType="separate"/>
      </w:r>
      <w:r w:rsidR="00120573" w:rsidRPr="001F0848">
        <w:t xml:space="preserve">Table </w:t>
      </w:r>
      <w:r w:rsidR="00120573">
        <w:rPr>
          <w:noProof/>
        </w:rPr>
        <w:t>1</w:t>
      </w:r>
      <w:r w:rsidR="00036CD0" w:rsidRPr="001F0848">
        <w:fldChar w:fldCharType="end"/>
      </w:r>
      <w:r w:rsidR="00036CD0">
        <w:t xml:space="preserve">) </w:t>
      </w:r>
      <w:r w:rsidR="00C21E22" w:rsidRPr="001F0848">
        <w:t>are</w:t>
      </w:r>
      <w:r w:rsidR="001F0848">
        <w:t>:</w:t>
      </w:r>
      <w:r w:rsidR="00730516" w:rsidRPr="001F0848">
        <w:t xml:space="preserve"> </w:t>
      </w:r>
      <w:r w:rsidR="001F0848">
        <w:br/>
      </w:r>
      <w:r w:rsidR="001F0848">
        <w:rPr>
          <w:b/>
        </w:rPr>
        <w:tab/>
      </w:r>
      <w:r w:rsidR="00730516" w:rsidRPr="001F0848">
        <w:rPr>
          <w:b/>
        </w:rPr>
        <w:t>$</w:t>
      </w:r>
      <w:r w:rsidR="001F0848">
        <w:rPr>
          <w:b/>
        </w:rPr>
        <w:t xml:space="preserve">  </w:t>
      </w:r>
      <w:r w:rsidR="00E057EB">
        <w:rPr>
          <w:b/>
        </w:rPr>
        <w:t xml:space="preserve"> </w:t>
      </w:r>
      <w:r w:rsidR="001F0848">
        <w:rPr>
          <w:b/>
        </w:rPr>
        <w:t xml:space="preserve"> </w:t>
      </w:r>
      <w:r w:rsidR="00992CFD">
        <w:rPr>
          <w:b/>
        </w:rPr>
        <w:t>44.17</w:t>
      </w:r>
      <w:r>
        <w:rPr>
          <w:b/>
        </w:rPr>
        <w:tab/>
      </w:r>
      <w:r w:rsidR="00140D95" w:rsidRPr="001F0848">
        <w:t xml:space="preserve">TRS member-only </w:t>
      </w:r>
      <w:r>
        <w:t>plan</w:t>
      </w:r>
      <w:r w:rsidR="00730516" w:rsidRPr="001F0848">
        <w:t xml:space="preserve"> and </w:t>
      </w:r>
      <w:r w:rsidR="001F0848">
        <w:br/>
      </w:r>
      <w:r w:rsidR="001F0848">
        <w:rPr>
          <w:b/>
        </w:rPr>
        <w:tab/>
      </w:r>
      <w:r w:rsidR="00730516" w:rsidRPr="001F0848">
        <w:rPr>
          <w:b/>
        </w:rPr>
        <w:t>$</w:t>
      </w:r>
      <w:r w:rsidR="001F0848">
        <w:rPr>
          <w:b/>
        </w:rPr>
        <w:t xml:space="preserve"> </w:t>
      </w:r>
      <w:r w:rsidR="00E057EB">
        <w:rPr>
          <w:b/>
        </w:rPr>
        <w:t xml:space="preserve">   </w:t>
      </w:r>
      <w:r w:rsidR="00992CFD">
        <w:rPr>
          <w:b/>
        </w:rPr>
        <w:t>228.27</w:t>
      </w:r>
      <w:r>
        <w:tab/>
        <w:t>T</w:t>
      </w:r>
      <w:r w:rsidR="00140D95" w:rsidRPr="001F0848">
        <w:t xml:space="preserve">RS member and </w:t>
      </w:r>
      <w:r w:rsidR="00730516" w:rsidRPr="001F0848">
        <w:t>family</w:t>
      </w:r>
      <w:r>
        <w:t xml:space="preserve"> plan</w:t>
      </w:r>
      <w:r w:rsidR="00730516" w:rsidRPr="001F0848">
        <w:t xml:space="preserve"> </w:t>
      </w:r>
      <w:r w:rsidR="00140D95" w:rsidRPr="001F0848">
        <w:t>.</w:t>
      </w:r>
    </w:p>
    <w:p w:rsidR="00492B1B" w:rsidRPr="001F0848" w:rsidRDefault="00492B1B" w:rsidP="001F0848">
      <w:pPr>
        <w:pStyle w:val="Caption"/>
        <w:keepNext/>
        <w:spacing w:after="120"/>
        <w:rPr>
          <w:sz w:val="24"/>
          <w:szCs w:val="24"/>
        </w:rPr>
      </w:pPr>
      <w:bookmarkStart w:id="1" w:name="_Ref484066428"/>
      <w:r w:rsidRPr="001F0848">
        <w:rPr>
          <w:sz w:val="24"/>
          <w:szCs w:val="24"/>
        </w:rPr>
        <w:t xml:space="preserve">Table </w:t>
      </w:r>
      <w:r w:rsidRPr="001F0848">
        <w:rPr>
          <w:sz w:val="24"/>
          <w:szCs w:val="24"/>
        </w:rPr>
        <w:fldChar w:fldCharType="begin"/>
      </w:r>
      <w:r w:rsidRPr="001F0848">
        <w:rPr>
          <w:sz w:val="24"/>
          <w:szCs w:val="24"/>
        </w:rPr>
        <w:instrText xml:space="preserve"> SEQ Table \* ARABIC </w:instrText>
      </w:r>
      <w:r w:rsidRPr="001F0848">
        <w:rPr>
          <w:sz w:val="24"/>
          <w:szCs w:val="24"/>
        </w:rPr>
        <w:fldChar w:fldCharType="separate"/>
      </w:r>
      <w:r w:rsidR="00120573">
        <w:rPr>
          <w:noProof/>
          <w:sz w:val="24"/>
          <w:szCs w:val="24"/>
        </w:rPr>
        <w:t>1</w:t>
      </w:r>
      <w:r w:rsidRPr="001F0848">
        <w:rPr>
          <w:sz w:val="24"/>
          <w:szCs w:val="24"/>
        </w:rPr>
        <w:fldChar w:fldCharType="end"/>
      </w:r>
      <w:bookmarkEnd w:id="1"/>
      <w:r w:rsidRPr="001F0848">
        <w:rPr>
          <w:sz w:val="24"/>
          <w:szCs w:val="24"/>
        </w:rPr>
        <w:t xml:space="preserve"> </w:t>
      </w:r>
      <w:r w:rsidR="00FF6BEC">
        <w:rPr>
          <w:sz w:val="24"/>
          <w:szCs w:val="24"/>
        </w:rPr>
        <w:t xml:space="preserve">– </w:t>
      </w:r>
      <w:r w:rsidR="00987A16">
        <w:rPr>
          <w:sz w:val="24"/>
          <w:szCs w:val="24"/>
        </w:rPr>
        <w:t>Calendar Year 20</w:t>
      </w:r>
      <w:r w:rsidR="00E90C4A">
        <w:rPr>
          <w:sz w:val="24"/>
          <w:szCs w:val="24"/>
        </w:rPr>
        <w:t>20</w:t>
      </w:r>
      <w:r w:rsidRPr="001F0848">
        <w:rPr>
          <w:sz w:val="24"/>
          <w:szCs w:val="24"/>
        </w:rPr>
        <w:t xml:space="preserve"> TRS Premium Buildup</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321"/>
        <w:gridCol w:w="1397"/>
        <w:gridCol w:w="1245"/>
        <w:gridCol w:w="1321"/>
        <w:gridCol w:w="1322"/>
        <w:tblGridChange w:id="2">
          <w:tblGrid>
            <w:gridCol w:w="2970"/>
            <w:gridCol w:w="1321"/>
            <w:gridCol w:w="1397"/>
            <w:gridCol w:w="1245"/>
            <w:gridCol w:w="1321"/>
            <w:gridCol w:w="1322"/>
          </w:tblGrid>
        </w:tblGridChange>
      </w:tblGrid>
      <w:tr w:rsidR="00BF6255" w:rsidRPr="001F0848" w:rsidTr="00992CFD">
        <w:trPr>
          <w:jc w:val="center"/>
        </w:trPr>
        <w:tc>
          <w:tcPr>
            <w:tcW w:w="2970" w:type="dxa"/>
            <w:tcBorders>
              <w:left w:val="nil"/>
              <w:bottom w:val="single" w:sz="12" w:space="0" w:color="auto"/>
              <w:right w:val="single" w:sz="4" w:space="0" w:color="auto"/>
            </w:tcBorders>
            <w:shd w:val="clear" w:color="auto" w:fill="auto"/>
          </w:tcPr>
          <w:p w:rsidR="00730516" w:rsidRPr="001F0848" w:rsidRDefault="00730516" w:rsidP="001F0848">
            <w:pPr>
              <w:jc w:val="center"/>
              <w:rPr>
                <w:b/>
              </w:rPr>
            </w:pPr>
          </w:p>
        </w:tc>
        <w:tc>
          <w:tcPr>
            <w:tcW w:w="1321" w:type="dxa"/>
            <w:tcBorders>
              <w:left w:val="single" w:sz="4" w:space="0" w:color="auto"/>
              <w:bottom w:val="single" w:sz="12" w:space="0" w:color="auto"/>
              <w:right w:val="nil"/>
            </w:tcBorders>
            <w:shd w:val="clear" w:color="auto" w:fill="auto"/>
          </w:tcPr>
          <w:p w:rsidR="00C21E22" w:rsidRPr="001F0848" w:rsidRDefault="00730516" w:rsidP="001F0848">
            <w:pPr>
              <w:jc w:val="center"/>
              <w:rPr>
                <w:b/>
              </w:rPr>
            </w:pPr>
            <w:r w:rsidRPr="001F0848">
              <w:rPr>
                <w:b/>
              </w:rPr>
              <w:t>CY 20</w:t>
            </w:r>
            <w:r w:rsidR="007727FB" w:rsidRPr="001F0848">
              <w:rPr>
                <w:b/>
              </w:rPr>
              <w:t>1</w:t>
            </w:r>
            <w:r w:rsidR="00992CFD">
              <w:rPr>
                <w:b/>
              </w:rPr>
              <w:t>7</w:t>
            </w:r>
          </w:p>
          <w:p w:rsidR="00730516" w:rsidRPr="001F0848" w:rsidRDefault="00C21E22" w:rsidP="001F0848">
            <w:pPr>
              <w:jc w:val="center"/>
              <w:rPr>
                <w:b/>
              </w:rPr>
            </w:pPr>
            <w:r w:rsidRPr="001F0848">
              <w:rPr>
                <w:b/>
              </w:rPr>
              <w:t>Costs</w:t>
            </w:r>
          </w:p>
        </w:tc>
        <w:tc>
          <w:tcPr>
            <w:tcW w:w="1397" w:type="dxa"/>
            <w:tcBorders>
              <w:left w:val="nil"/>
              <w:bottom w:val="single" w:sz="12" w:space="0" w:color="auto"/>
              <w:right w:val="nil"/>
            </w:tcBorders>
            <w:shd w:val="clear" w:color="auto" w:fill="auto"/>
          </w:tcPr>
          <w:p w:rsidR="00C21E22" w:rsidRPr="001F0848" w:rsidRDefault="00730516" w:rsidP="001F0848">
            <w:pPr>
              <w:jc w:val="center"/>
              <w:rPr>
                <w:b/>
              </w:rPr>
            </w:pPr>
            <w:r w:rsidRPr="001F0848">
              <w:rPr>
                <w:b/>
              </w:rPr>
              <w:t>CY 20</w:t>
            </w:r>
            <w:r w:rsidR="007727FB" w:rsidRPr="001F0848">
              <w:rPr>
                <w:b/>
              </w:rPr>
              <w:t>1</w:t>
            </w:r>
            <w:r w:rsidR="00992CFD">
              <w:rPr>
                <w:b/>
              </w:rPr>
              <w:t>8</w:t>
            </w:r>
          </w:p>
          <w:p w:rsidR="00730516" w:rsidRPr="001F0848" w:rsidRDefault="00C21E22" w:rsidP="001F0848">
            <w:pPr>
              <w:jc w:val="center"/>
              <w:rPr>
                <w:b/>
              </w:rPr>
            </w:pPr>
            <w:r w:rsidRPr="001F0848">
              <w:rPr>
                <w:b/>
              </w:rPr>
              <w:t>Costs</w:t>
            </w:r>
          </w:p>
        </w:tc>
        <w:tc>
          <w:tcPr>
            <w:tcW w:w="1245" w:type="dxa"/>
            <w:tcBorders>
              <w:left w:val="nil"/>
              <w:bottom w:val="single" w:sz="12" w:space="0" w:color="auto"/>
              <w:right w:val="nil"/>
            </w:tcBorders>
            <w:shd w:val="clear" w:color="auto" w:fill="auto"/>
          </w:tcPr>
          <w:p w:rsidR="00730516" w:rsidRPr="001F0848" w:rsidRDefault="00730516" w:rsidP="001F0848">
            <w:pPr>
              <w:jc w:val="center"/>
              <w:rPr>
                <w:b/>
              </w:rPr>
            </w:pPr>
            <w:r w:rsidRPr="001F0848">
              <w:rPr>
                <w:b/>
              </w:rPr>
              <w:t>Weighted Average</w:t>
            </w:r>
          </w:p>
        </w:tc>
        <w:tc>
          <w:tcPr>
            <w:tcW w:w="1321" w:type="dxa"/>
            <w:tcBorders>
              <w:left w:val="nil"/>
              <w:bottom w:val="single" w:sz="12" w:space="0" w:color="auto"/>
              <w:right w:val="nil"/>
            </w:tcBorders>
            <w:shd w:val="clear" w:color="auto" w:fill="auto"/>
          </w:tcPr>
          <w:p w:rsidR="00730516" w:rsidRPr="001F0848" w:rsidRDefault="00730516" w:rsidP="001F0848">
            <w:pPr>
              <w:jc w:val="center"/>
              <w:rPr>
                <w:b/>
              </w:rPr>
            </w:pPr>
            <w:r w:rsidRPr="001F0848">
              <w:rPr>
                <w:b/>
              </w:rPr>
              <w:t xml:space="preserve">28% </w:t>
            </w:r>
            <w:r w:rsidR="007727FB" w:rsidRPr="001F0848">
              <w:rPr>
                <w:b/>
              </w:rPr>
              <w:br/>
            </w:r>
            <w:r w:rsidRPr="001F0848">
              <w:rPr>
                <w:b/>
              </w:rPr>
              <w:t>Share</w:t>
            </w:r>
          </w:p>
        </w:tc>
        <w:tc>
          <w:tcPr>
            <w:tcW w:w="1322" w:type="dxa"/>
            <w:tcBorders>
              <w:left w:val="nil"/>
              <w:bottom w:val="single" w:sz="12" w:space="0" w:color="auto"/>
              <w:right w:val="nil"/>
            </w:tcBorders>
            <w:shd w:val="clear" w:color="auto" w:fill="auto"/>
          </w:tcPr>
          <w:p w:rsidR="00730516" w:rsidRPr="001F0848" w:rsidRDefault="00730516" w:rsidP="001F0848">
            <w:pPr>
              <w:jc w:val="center"/>
              <w:rPr>
                <w:b/>
              </w:rPr>
            </w:pPr>
            <w:r w:rsidRPr="001F0848">
              <w:rPr>
                <w:b/>
              </w:rPr>
              <w:t xml:space="preserve">Monthly </w:t>
            </w:r>
            <w:r w:rsidR="00C21E22" w:rsidRPr="001F0848">
              <w:rPr>
                <w:b/>
              </w:rPr>
              <w:t>Rate</w:t>
            </w:r>
          </w:p>
        </w:tc>
      </w:tr>
      <w:tr w:rsidR="00BF6255" w:rsidRPr="001F0848" w:rsidTr="00992CFD">
        <w:trPr>
          <w:jc w:val="center"/>
        </w:trPr>
        <w:tc>
          <w:tcPr>
            <w:tcW w:w="2970" w:type="dxa"/>
            <w:tcBorders>
              <w:top w:val="single" w:sz="12" w:space="0" w:color="auto"/>
              <w:left w:val="nil"/>
              <w:bottom w:val="single" w:sz="12" w:space="0" w:color="auto"/>
              <w:right w:val="single" w:sz="4" w:space="0" w:color="auto"/>
            </w:tcBorders>
            <w:shd w:val="clear" w:color="auto" w:fill="auto"/>
          </w:tcPr>
          <w:p w:rsidR="00730516" w:rsidRPr="001F0848" w:rsidRDefault="00730516" w:rsidP="001F0848">
            <w:pPr>
              <w:rPr>
                <w:b/>
              </w:rPr>
            </w:pPr>
            <w:r w:rsidRPr="001F0848">
              <w:rPr>
                <w:b/>
              </w:rPr>
              <w:t>TRS Member Only</w:t>
            </w:r>
          </w:p>
        </w:tc>
        <w:tc>
          <w:tcPr>
            <w:tcW w:w="1321" w:type="dxa"/>
            <w:tcBorders>
              <w:top w:val="single" w:sz="12" w:space="0" w:color="auto"/>
              <w:left w:val="single" w:sz="4" w:space="0" w:color="auto"/>
              <w:bottom w:val="single" w:sz="12" w:space="0" w:color="auto"/>
              <w:right w:val="nil"/>
            </w:tcBorders>
            <w:shd w:val="clear" w:color="auto" w:fill="auto"/>
          </w:tcPr>
          <w:p w:rsidR="00730516" w:rsidRPr="001F0848" w:rsidRDefault="00730516" w:rsidP="001F0848">
            <w:pPr>
              <w:jc w:val="right"/>
            </w:pPr>
          </w:p>
        </w:tc>
        <w:tc>
          <w:tcPr>
            <w:tcW w:w="1397"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c>
          <w:tcPr>
            <w:tcW w:w="1245"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c>
          <w:tcPr>
            <w:tcW w:w="1321"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c>
          <w:tcPr>
            <w:tcW w:w="1322"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r>
      <w:tr w:rsidR="00BF6255" w:rsidRPr="001F0848" w:rsidTr="00992CFD">
        <w:trPr>
          <w:jc w:val="center"/>
        </w:trPr>
        <w:tc>
          <w:tcPr>
            <w:tcW w:w="2970" w:type="dxa"/>
            <w:tcBorders>
              <w:top w:val="single" w:sz="12" w:space="0" w:color="auto"/>
              <w:left w:val="nil"/>
              <w:right w:val="single" w:sz="4" w:space="0" w:color="auto"/>
            </w:tcBorders>
            <w:shd w:val="clear" w:color="auto" w:fill="auto"/>
          </w:tcPr>
          <w:p w:rsidR="00730516" w:rsidRPr="001F0848" w:rsidRDefault="00730516" w:rsidP="001F0848">
            <w:r w:rsidRPr="001F0848">
              <w:tab/>
              <w:t>Healthcare</w:t>
            </w:r>
          </w:p>
        </w:tc>
        <w:tc>
          <w:tcPr>
            <w:tcW w:w="1321" w:type="dxa"/>
            <w:tcBorders>
              <w:top w:val="single" w:sz="12" w:space="0" w:color="auto"/>
              <w:left w:val="single" w:sz="4" w:space="0" w:color="auto"/>
              <w:right w:val="nil"/>
            </w:tcBorders>
            <w:shd w:val="clear" w:color="auto" w:fill="auto"/>
          </w:tcPr>
          <w:p w:rsidR="00730516" w:rsidRPr="001F0848" w:rsidRDefault="00730516" w:rsidP="00992CFD">
            <w:pPr>
              <w:jc w:val="right"/>
            </w:pPr>
            <w:r w:rsidRPr="001F0848">
              <w:t>$</w:t>
            </w:r>
            <w:r w:rsidR="00981881">
              <w:t xml:space="preserve">      </w:t>
            </w:r>
            <w:r w:rsidR="00D836E2">
              <w:t>1,7</w:t>
            </w:r>
            <w:r w:rsidR="00992CFD">
              <w:t>52</w:t>
            </w:r>
          </w:p>
        </w:tc>
        <w:tc>
          <w:tcPr>
            <w:tcW w:w="1397" w:type="dxa"/>
            <w:tcBorders>
              <w:top w:val="single" w:sz="12" w:space="0" w:color="auto"/>
              <w:left w:val="nil"/>
              <w:right w:val="nil"/>
            </w:tcBorders>
            <w:shd w:val="clear" w:color="auto" w:fill="auto"/>
          </w:tcPr>
          <w:p w:rsidR="00730516" w:rsidRPr="001F0848" w:rsidRDefault="00730516" w:rsidP="00992CFD">
            <w:pPr>
              <w:jc w:val="right"/>
            </w:pPr>
            <w:r w:rsidRPr="001F0848">
              <w:t>$</w:t>
            </w:r>
            <w:r w:rsidR="00120573">
              <w:t xml:space="preserve"> </w:t>
            </w:r>
            <w:r w:rsidR="00981881">
              <w:t xml:space="preserve">     </w:t>
            </w:r>
            <w:r w:rsidR="00120573">
              <w:t>1</w:t>
            </w:r>
            <w:r w:rsidR="00D836E2">
              <w:t>,</w:t>
            </w:r>
            <w:r w:rsidR="00992CFD">
              <w:t>872</w:t>
            </w:r>
          </w:p>
        </w:tc>
        <w:tc>
          <w:tcPr>
            <w:tcW w:w="1245" w:type="dxa"/>
            <w:tcBorders>
              <w:top w:val="single" w:sz="12" w:space="0" w:color="auto"/>
              <w:left w:val="nil"/>
              <w:right w:val="nil"/>
            </w:tcBorders>
            <w:shd w:val="clear" w:color="auto" w:fill="auto"/>
          </w:tcPr>
          <w:p w:rsidR="00730516" w:rsidRPr="001F0848" w:rsidRDefault="00730516" w:rsidP="00992CFD">
            <w:pPr>
              <w:jc w:val="right"/>
            </w:pPr>
            <w:r w:rsidRPr="001F0848">
              <w:t>$</w:t>
            </w:r>
            <w:r w:rsidR="00981881">
              <w:t xml:space="preserve">      </w:t>
            </w:r>
            <w:r w:rsidR="00C065BC" w:rsidRPr="001F0848">
              <w:t>1,</w:t>
            </w:r>
            <w:r w:rsidR="00992CFD">
              <w:t>81</w:t>
            </w:r>
            <w:r w:rsidR="00D836E2">
              <w:t>1</w:t>
            </w:r>
          </w:p>
        </w:tc>
        <w:tc>
          <w:tcPr>
            <w:tcW w:w="1321" w:type="dxa"/>
            <w:tcBorders>
              <w:top w:val="single" w:sz="12" w:space="0" w:color="auto"/>
              <w:left w:val="nil"/>
              <w:right w:val="nil"/>
            </w:tcBorders>
            <w:shd w:val="clear" w:color="auto" w:fill="auto"/>
          </w:tcPr>
          <w:p w:rsidR="00730516" w:rsidRPr="001F0848" w:rsidRDefault="00730516" w:rsidP="001F0848">
            <w:pPr>
              <w:jc w:val="right"/>
            </w:pPr>
            <w:r w:rsidRPr="001F0848">
              <w:t>NA</w:t>
            </w:r>
          </w:p>
        </w:tc>
        <w:tc>
          <w:tcPr>
            <w:tcW w:w="1322" w:type="dxa"/>
            <w:tcBorders>
              <w:top w:val="single" w:sz="12" w:space="0" w:color="auto"/>
              <w:left w:val="nil"/>
              <w:right w:val="nil"/>
            </w:tcBorders>
            <w:shd w:val="clear" w:color="auto" w:fill="auto"/>
          </w:tcPr>
          <w:p w:rsidR="00730516" w:rsidRPr="001F0848" w:rsidRDefault="00730516" w:rsidP="001F0848">
            <w:pPr>
              <w:jc w:val="right"/>
            </w:pPr>
            <w:r w:rsidRPr="001F0848">
              <w:t>NA</w:t>
            </w:r>
          </w:p>
        </w:tc>
      </w:tr>
      <w:tr w:rsidR="00BF6255" w:rsidRPr="001F0848" w:rsidTr="00992CFD">
        <w:trPr>
          <w:jc w:val="center"/>
        </w:trPr>
        <w:tc>
          <w:tcPr>
            <w:tcW w:w="2970" w:type="dxa"/>
            <w:tcBorders>
              <w:left w:val="nil"/>
              <w:right w:val="single" w:sz="4" w:space="0" w:color="auto"/>
            </w:tcBorders>
            <w:shd w:val="clear" w:color="auto" w:fill="auto"/>
          </w:tcPr>
          <w:p w:rsidR="00730516" w:rsidRPr="001F0848" w:rsidRDefault="00730516" w:rsidP="001F0848">
            <w:r w:rsidRPr="001F0848">
              <w:tab/>
              <w:t>Admin</w:t>
            </w:r>
          </w:p>
        </w:tc>
        <w:tc>
          <w:tcPr>
            <w:tcW w:w="1321" w:type="dxa"/>
            <w:tcBorders>
              <w:left w:val="single" w:sz="4" w:space="0" w:color="auto"/>
              <w:right w:val="nil"/>
            </w:tcBorders>
            <w:shd w:val="clear" w:color="auto" w:fill="auto"/>
          </w:tcPr>
          <w:p w:rsidR="00730516" w:rsidRPr="001F0848" w:rsidRDefault="00730516" w:rsidP="00D836E2">
            <w:pPr>
              <w:jc w:val="right"/>
            </w:pPr>
            <w:r w:rsidRPr="001F0848">
              <w:t>$</w:t>
            </w:r>
            <w:r w:rsidR="00981881">
              <w:t xml:space="preserve">           </w:t>
            </w:r>
            <w:r w:rsidR="00210572" w:rsidRPr="001F0848">
              <w:t>8</w:t>
            </w:r>
            <w:r w:rsidR="00D836E2">
              <w:t>2</w:t>
            </w:r>
          </w:p>
        </w:tc>
        <w:tc>
          <w:tcPr>
            <w:tcW w:w="1397" w:type="dxa"/>
            <w:tcBorders>
              <w:left w:val="nil"/>
              <w:right w:val="nil"/>
            </w:tcBorders>
            <w:shd w:val="clear" w:color="auto" w:fill="auto"/>
          </w:tcPr>
          <w:p w:rsidR="00730516" w:rsidRPr="001F0848" w:rsidRDefault="00730516" w:rsidP="00EA1DC4">
            <w:pPr>
              <w:jc w:val="right"/>
            </w:pPr>
            <w:r w:rsidRPr="001F0848">
              <w:t>$</w:t>
            </w:r>
            <w:r w:rsidR="00981881">
              <w:t xml:space="preserve">           </w:t>
            </w:r>
            <w:r w:rsidR="00C065BC" w:rsidRPr="001F0848">
              <w:t>8</w:t>
            </w:r>
            <w:r w:rsidR="00D836E2">
              <w:t>0</w:t>
            </w:r>
          </w:p>
        </w:tc>
        <w:tc>
          <w:tcPr>
            <w:tcW w:w="1245" w:type="dxa"/>
            <w:tcBorders>
              <w:left w:val="nil"/>
              <w:right w:val="nil"/>
            </w:tcBorders>
            <w:shd w:val="clear" w:color="auto" w:fill="auto"/>
          </w:tcPr>
          <w:p w:rsidR="00730516" w:rsidRPr="001F0848" w:rsidRDefault="00730516" w:rsidP="00D836E2">
            <w:pPr>
              <w:jc w:val="right"/>
            </w:pPr>
            <w:r w:rsidRPr="001F0848">
              <w:t>$</w:t>
            </w:r>
            <w:r w:rsidR="00981881">
              <w:t xml:space="preserve">           </w:t>
            </w:r>
            <w:r w:rsidR="00C065BC" w:rsidRPr="001F0848">
              <w:t>8</w:t>
            </w:r>
            <w:r w:rsidR="00D836E2">
              <w:t>1</w:t>
            </w:r>
          </w:p>
        </w:tc>
        <w:tc>
          <w:tcPr>
            <w:tcW w:w="1321" w:type="dxa"/>
            <w:tcBorders>
              <w:left w:val="nil"/>
              <w:right w:val="nil"/>
            </w:tcBorders>
            <w:shd w:val="clear" w:color="auto" w:fill="auto"/>
          </w:tcPr>
          <w:p w:rsidR="00730516" w:rsidRPr="001F0848" w:rsidRDefault="00730516" w:rsidP="001F0848">
            <w:pPr>
              <w:jc w:val="right"/>
            </w:pPr>
            <w:r w:rsidRPr="001F0848">
              <w:t>NA</w:t>
            </w:r>
          </w:p>
        </w:tc>
        <w:tc>
          <w:tcPr>
            <w:tcW w:w="1322" w:type="dxa"/>
            <w:tcBorders>
              <w:left w:val="nil"/>
              <w:right w:val="nil"/>
            </w:tcBorders>
            <w:shd w:val="clear" w:color="auto" w:fill="auto"/>
          </w:tcPr>
          <w:p w:rsidR="00730516" w:rsidRPr="001F0848" w:rsidRDefault="00730516" w:rsidP="001F0848">
            <w:pPr>
              <w:jc w:val="right"/>
            </w:pPr>
            <w:r w:rsidRPr="001F0848">
              <w:t>NA</w:t>
            </w:r>
          </w:p>
        </w:tc>
      </w:tr>
      <w:tr w:rsidR="00BF6255" w:rsidRPr="001F0848" w:rsidTr="00992CFD">
        <w:trPr>
          <w:jc w:val="center"/>
        </w:trPr>
        <w:tc>
          <w:tcPr>
            <w:tcW w:w="2970" w:type="dxa"/>
            <w:tcBorders>
              <w:left w:val="nil"/>
              <w:bottom w:val="single" w:sz="8" w:space="0" w:color="auto"/>
              <w:right w:val="single" w:sz="4" w:space="0" w:color="auto"/>
            </w:tcBorders>
            <w:shd w:val="clear" w:color="auto" w:fill="auto"/>
          </w:tcPr>
          <w:p w:rsidR="00730516" w:rsidRPr="00036D86" w:rsidRDefault="00730516" w:rsidP="001F0848">
            <w:pPr>
              <w:rPr>
                <w:b/>
              </w:rPr>
            </w:pPr>
            <w:r w:rsidRPr="00036D86">
              <w:rPr>
                <w:b/>
              </w:rPr>
              <w:t>Total</w:t>
            </w:r>
          </w:p>
        </w:tc>
        <w:tc>
          <w:tcPr>
            <w:tcW w:w="1321" w:type="dxa"/>
            <w:tcBorders>
              <w:left w:val="single" w:sz="4" w:space="0" w:color="auto"/>
              <w:bottom w:val="single" w:sz="8" w:space="0" w:color="auto"/>
              <w:right w:val="nil"/>
            </w:tcBorders>
            <w:shd w:val="clear" w:color="auto" w:fill="auto"/>
          </w:tcPr>
          <w:p w:rsidR="00730516" w:rsidRPr="001F0848" w:rsidRDefault="00730516" w:rsidP="00992CFD">
            <w:pPr>
              <w:jc w:val="right"/>
            </w:pPr>
            <w:r w:rsidRPr="001F0848">
              <w:t>$</w:t>
            </w:r>
            <w:r w:rsidR="00981881">
              <w:t xml:space="preserve">      </w:t>
            </w:r>
            <w:r w:rsidR="00D836E2">
              <w:t>1,83</w:t>
            </w:r>
            <w:r w:rsidR="00992CFD">
              <w:t>4</w:t>
            </w:r>
          </w:p>
        </w:tc>
        <w:tc>
          <w:tcPr>
            <w:tcW w:w="1397" w:type="dxa"/>
            <w:tcBorders>
              <w:left w:val="nil"/>
              <w:bottom w:val="single" w:sz="8" w:space="0" w:color="auto"/>
              <w:right w:val="nil"/>
            </w:tcBorders>
            <w:shd w:val="clear" w:color="auto" w:fill="auto"/>
          </w:tcPr>
          <w:p w:rsidR="00730516" w:rsidRPr="001F0848" w:rsidRDefault="00730516" w:rsidP="00992CFD">
            <w:pPr>
              <w:jc w:val="right"/>
            </w:pPr>
            <w:r w:rsidRPr="001F0848">
              <w:t>$</w:t>
            </w:r>
            <w:r w:rsidR="00981881">
              <w:t xml:space="preserve">      </w:t>
            </w:r>
            <w:r w:rsidR="00D836E2">
              <w:t>1,</w:t>
            </w:r>
            <w:r w:rsidR="00992CFD">
              <w:t>952</w:t>
            </w:r>
          </w:p>
        </w:tc>
        <w:tc>
          <w:tcPr>
            <w:tcW w:w="1245" w:type="dxa"/>
            <w:tcBorders>
              <w:left w:val="nil"/>
              <w:bottom w:val="single" w:sz="8" w:space="0" w:color="auto"/>
              <w:right w:val="nil"/>
            </w:tcBorders>
            <w:shd w:val="clear" w:color="auto" w:fill="auto"/>
          </w:tcPr>
          <w:p w:rsidR="00730516" w:rsidRPr="001F0848" w:rsidRDefault="00730516" w:rsidP="00992CFD">
            <w:pPr>
              <w:jc w:val="right"/>
            </w:pPr>
            <w:r w:rsidRPr="001F0848">
              <w:t>$</w:t>
            </w:r>
            <w:r w:rsidR="00981881">
              <w:t xml:space="preserve">      </w:t>
            </w:r>
            <w:r w:rsidR="00D836E2">
              <w:t>1,8</w:t>
            </w:r>
            <w:r w:rsidR="00992CFD">
              <w:t>9</w:t>
            </w:r>
            <w:r w:rsidR="00D836E2">
              <w:t>2</w:t>
            </w:r>
          </w:p>
        </w:tc>
        <w:tc>
          <w:tcPr>
            <w:tcW w:w="1321" w:type="dxa"/>
            <w:tcBorders>
              <w:left w:val="nil"/>
              <w:bottom w:val="single" w:sz="8" w:space="0" w:color="auto"/>
              <w:right w:val="nil"/>
            </w:tcBorders>
            <w:shd w:val="clear" w:color="auto" w:fill="auto"/>
          </w:tcPr>
          <w:p w:rsidR="00730516" w:rsidRPr="001F0848" w:rsidRDefault="00730516" w:rsidP="00992CFD">
            <w:pPr>
              <w:jc w:val="right"/>
            </w:pPr>
            <w:r w:rsidRPr="001F0848">
              <w:t>$</w:t>
            </w:r>
            <w:r w:rsidR="00120573">
              <w:t xml:space="preserve">    </w:t>
            </w:r>
            <w:r w:rsidR="00992CFD">
              <w:t>530.06</w:t>
            </w:r>
          </w:p>
        </w:tc>
        <w:tc>
          <w:tcPr>
            <w:tcW w:w="1322" w:type="dxa"/>
            <w:tcBorders>
              <w:left w:val="nil"/>
              <w:bottom w:val="single" w:sz="8" w:space="0" w:color="auto"/>
              <w:right w:val="nil"/>
            </w:tcBorders>
            <w:shd w:val="clear" w:color="auto" w:fill="auto"/>
          </w:tcPr>
          <w:p w:rsidR="00730516" w:rsidRPr="001F0848" w:rsidRDefault="00730516" w:rsidP="005D7C81">
            <w:pPr>
              <w:jc w:val="right"/>
              <w:rPr>
                <w:b/>
              </w:rPr>
            </w:pPr>
            <w:r w:rsidRPr="001F0848">
              <w:rPr>
                <w:b/>
              </w:rPr>
              <w:t>$</w:t>
            </w:r>
            <w:r w:rsidR="00981881">
              <w:rPr>
                <w:b/>
              </w:rPr>
              <w:t xml:space="preserve">   </w:t>
            </w:r>
            <w:r w:rsidR="00210572" w:rsidRPr="001F0848">
              <w:rPr>
                <w:b/>
              </w:rPr>
              <w:t>4</w:t>
            </w:r>
            <w:r w:rsidR="005D7C81">
              <w:rPr>
                <w:b/>
              </w:rPr>
              <w:t>4.17</w:t>
            </w:r>
          </w:p>
        </w:tc>
      </w:tr>
      <w:tr w:rsidR="00BF6255" w:rsidRPr="001F0848" w:rsidTr="00992CFD">
        <w:trPr>
          <w:jc w:val="center"/>
        </w:trPr>
        <w:tc>
          <w:tcPr>
            <w:tcW w:w="2970" w:type="dxa"/>
            <w:tcBorders>
              <w:top w:val="single" w:sz="12" w:space="0" w:color="auto"/>
              <w:left w:val="nil"/>
              <w:bottom w:val="single" w:sz="12" w:space="0" w:color="auto"/>
              <w:right w:val="single" w:sz="4" w:space="0" w:color="auto"/>
            </w:tcBorders>
            <w:shd w:val="clear" w:color="auto" w:fill="auto"/>
          </w:tcPr>
          <w:p w:rsidR="00730516" w:rsidRPr="001F0848" w:rsidRDefault="00730516" w:rsidP="001F0848">
            <w:pPr>
              <w:rPr>
                <w:b/>
              </w:rPr>
            </w:pPr>
            <w:r w:rsidRPr="001F0848">
              <w:rPr>
                <w:b/>
              </w:rPr>
              <w:t>TRS Member and Family</w:t>
            </w:r>
          </w:p>
        </w:tc>
        <w:tc>
          <w:tcPr>
            <w:tcW w:w="1321" w:type="dxa"/>
            <w:tcBorders>
              <w:top w:val="single" w:sz="12" w:space="0" w:color="auto"/>
              <w:left w:val="single" w:sz="4" w:space="0" w:color="auto"/>
              <w:bottom w:val="single" w:sz="12" w:space="0" w:color="auto"/>
              <w:right w:val="nil"/>
            </w:tcBorders>
            <w:shd w:val="clear" w:color="auto" w:fill="auto"/>
          </w:tcPr>
          <w:p w:rsidR="00730516" w:rsidRPr="001F0848" w:rsidRDefault="00730516" w:rsidP="001F0848">
            <w:pPr>
              <w:jc w:val="right"/>
            </w:pPr>
          </w:p>
        </w:tc>
        <w:tc>
          <w:tcPr>
            <w:tcW w:w="1397"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c>
          <w:tcPr>
            <w:tcW w:w="1245"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c>
          <w:tcPr>
            <w:tcW w:w="1321"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c>
          <w:tcPr>
            <w:tcW w:w="1322" w:type="dxa"/>
            <w:tcBorders>
              <w:top w:val="single" w:sz="12" w:space="0" w:color="auto"/>
              <w:left w:val="nil"/>
              <w:bottom w:val="single" w:sz="12" w:space="0" w:color="auto"/>
              <w:right w:val="nil"/>
            </w:tcBorders>
            <w:shd w:val="clear" w:color="auto" w:fill="auto"/>
          </w:tcPr>
          <w:p w:rsidR="00730516" w:rsidRPr="001F0848" w:rsidRDefault="00730516" w:rsidP="001F0848">
            <w:pPr>
              <w:jc w:val="right"/>
            </w:pPr>
          </w:p>
        </w:tc>
      </w:tr>
      <w:tr w:rsidR="00BF6255" w:rsidRPr="001F0848" w:rsidTr="00992CFD">
        <w:trPr>
          <w:jc w:val="center"/>
        </w:trPr>
        <w:tc>
          <w:tcPr>
            <w:tcW w:w="2970" w:type="dxa"/>
            <w:tcBorders>
              <w:top w:val="single" w:sz="12" w:space="0" w:color="auto"/>
              <w:left w:val="nil"/>
              <w:right w:val="single" w:sz="4" w:space="0" w:color="auto"/>
            </w:tcBorders>
            <w:shd w:val="clear" w:color="auto" w:fill="auto"/>
          </w:tcPr>
          <w:p w:rsidR="00730516" w:rsidRPr="001F0848" w:rsidRDefault="00730516" w:rsidP="001F0848">
            <w:r w:rsidRPr="001F0848">
              <w:tab/>
              <w:t>Healthcare</w:t>
            </w:r>
          </w:p>
        </w:tc>
        <w:tc>
          <w:tcPr>
            <w:tcW w:w="1321" w:type="dxa"/>
            <w:tcBorders>
              <w:top w:val="single" w:sz="12" w:space="0" w:color="auto"/>
              <w:left w:val="single" w:sz="4" w:space="0" w:color="auto"/>
              <w:right w:val="nil"/>
            </w:tcBorders>
            <w:shd w:val="clear" w:color="auto" w:fill="auto"/>
          </w:tcPr>
          <w:p w:rsidR="00730516" w:rsidRPr="001F0848" w:rsidRDefault="00730516" w:rsidP="00992CFD">
            <w:pPr>
              <w:jc w:val="right"/>
            </w:pPr>
            <w:r w:rsidRPr="001F0848">
              <w:t>$</w:t>
            </w:r>
            <w:r w:rsidR="00CA69A6">
              <w:t xml:space="preserve">     </w:t>
            </w:r>
            <w:r w:rsidR="00981881">
              <w:t xml:space="preserve"> </w:t>
            </w:r>
            <w:r w:rsidR="00992CFD">
              <w:t>9,190</w:t>
            </w:r>
          </w:p>
        </w:tc>
        <w:tc>
          <w:tcPr>
            <w:tcW w:w="1397" w:type="dxa"/>
            <w:tcBorders>
              <w:top w:val="single" w:sz="12" w:space="0" w:color="auto"/>
              <w:left w:val="nil"/>
              <w:right w:val="nil"/>
            </w:tcBorders>
            <w:shd w:val="clear" w:color="auto" w:fill="auto"/>
          </w:tcPr>
          <w:p w:rsidR="00730516" w:rsidRPr="001F0848" w:rsidRDefault="00730516" w:rsidP="00992CFD">
            <w:pPr>
              <w:jc w:val="right"/>
            </w:pPr>
            <w:r w:rsidRPr="001F0848">
              <w:t>$</w:t>
            </w:r>
            <w:r w:rsidR="00CA69A6">
              <w:t xml:space="preserve">     </w:t>
            </w:r>
            <w:r w:rsidR="00981881">
              <w:t xml:space="preserve"> </w:t>
            </w:r>
            <w:r w:rsidR="00CA69A6">
              <w:t>9,</w:t>
            </w:r>
            <w:r w:rsidR="00992CFD">
              <w:t>738</w:t>
            </w:r>
          </w:p>
        </w:tc>
        <w:tc>
          <w:tcPr>
            <w:tcW w:w="1245" w:type="dxa"/>
            <w:tcBorders>
              <w:top w:val="single" w:sz="12" w:space="0" w:color="auto"/>
              <w:left w:val="nil"/>
              <w:right w:val="nil"/>
            </w:tcBorders>
            <w:shd w:val="clear" w:color="auto" w:fill="auto"/>
          </w:tcPr>
          <w:p w:rsidR="00730516" w:rsidRPr="001F0848" w:rsidRDefault="00730516" w:rsidP="00992CFD">
            <w:pPr>
              <w:jc w:val="right"/>
            </w:pPr>
            <w:r w:rsidRPr="001F0848">
              <w:t>$</w:t>
            </w:r>
            <w:r w:rsidR="00CA69A6">
              <w:t xml:space="preserve">     </w:t>
            </w:r>
            <w:r w:rsidR="00981881">
              <w:t xml:space="preserve"> </w:t>
            </w:r>
            <w:r w:rsidR="00210572" w:rsidRPr="001F0848">
              <w:t>9</w:t>
            </w:r>
            <w:r w:rsidR="00CA69A6">
              <w:t>,</w:t>
            </w:r>
            <w:r w:rsidR="00992CFD">
              <w:t>458</w:t>
            </w:r>
          </w:p>
        </w:tc>
        <w:tc>
          <w:tcPr>
            <w:tcW w:w="1321" w:type="dxa"/>
            <w:tcBorders>
              <w:top w:val="single" w:sz="12" w:space="0" w:color="auto"/>
              <w:left w:val="nil"/>
              <w:right w:val="nil"/>
            </w:tcBorders>
            <w:shd w:val="clear" w:color="auto" w:fill="auto"/>
          </w:tcPr>
          <w:p w:rsidR="00730516" w:rsidRPr="001F0848" w:rsidRDefault="00730516" w:rsidP="001F0848">
            <w:pPr>
              <w:jc w:val="right"/>
            </w:pPr>
            <w:r w:rsidRPr="001F0848">
              <w:t>NA</w:t>
            </w:r>
          </w:p>
        </w:tc>
        <w:tc>
          <w:tcPr>
            <w:tcW w:w="1322" w:type="dxa"/>
            <w:tcBorders>
              <w:top w:val="single" w:sz="12" w:space="0" w:color="auto"/>
              <w:left w:val="nil"/>
              <w:right w:val="nil"/>
            </w:tcBorders>
            <w:shd w:val="clear" w:color="auto" w:fill="auto"/>
          </w:tcPr>
          <w:p w:rsidR="00730516" w:rsidRPr="001F0848" w:rsidRDefault="00730516" w:rsidP="001F0848">
            <w:pPr>
              <w:jc w:val="right"/>
            </w:pPr>
            <w:r w:rsidRPr="001F0848">
              <w:t>NA</w:t>
            </w:r>
          </w:p>
        </w:tc>
      </w:tr>
      <w:tr w:rsidR="00BF6255" w:rsidRPr="001F0848" w:rsidTr="00992CFD">
        <w:trPr>
          <w:jc w:val="center"/>
        </w:trPr>
        <w:tc>
          <w:tcPr>
            <w:tcW w:w="2970" w:type="dxa"/>
            <w:tcBorders>
              <w:left w:val="nil"/>
              <w:bottom w:val="single" w:sz="4" w:space="0" w:color="auto"/>
              <w:right w:val="single" w:sz="4" w:space="0" w:color="auto"/>
            </w:tcBorders>
            <w:shd w:val="clear" w:color="auto" w:fill="auto"/>
          </w:tcPr>
          <w:p w:rsidR="00730516" w:rsidRPr="001F0848" w:rsidRDefault="00730516" w:rsidP="001F0848">
            <w:r w:rsidRPr="001F0848">
              <w:tab/>
              <w:t>Admin</w:t>
            </w:r>
          </w:p>
        </w:tc>
        <w:tc>
          <w:tcPr>
            <w:tcW w:w="1321" w:type="dxa"/>
            <w:tcBorders>
              <w:left w:val="single" w:sz="4" w:space="0" w:color="auto"/>
              <w:bottom w:val="single" w:sz="4" w:space="0" w:color="auto"/>
              <w:right w:val="nil"/>
            </w:tcBorders>
            <w:shd w:val="clear" w:color="auto" w:fill="auto"/>
          </w:tcPr>
          <w:p w:rsidR="00730516" w:rsidRPr="001F0848" w:rsidRDefault="00730516" w:rsidP="00992CFD">
            <w:pPr>
              <w:jc w:val="right"/>
            </w:pPr>
            <w:r w:rsidRPr="001F0848">
              <w:t>$</w:t>
            </w:r>
            <w:r w:rsidR="00981881">
              <w:t xml:space="preserve">    </w:t>
            </w:r>
            <w:r w:rsidR="00CA69A6">
              <w:t xml:space="preserve">     32</w:t>
            </w:r>
            <w:r w:rsidR="00992CFD">
              <w:t>6</w:t>
            </w:r>
          </w:p>
        </w:tc>
        <w:tc>
          <w:tcPr>
            <w:tcW w:w="1397" w:type="dxa"/>
            <w:tcBorders>
              <w:left w:val="nil"/>
              <w:bottom w:val="single" w:sz="4" w:space="0" w:color="auto"/>
              <w:right w:val="nil"/>
            </w:tcBorders>
            <w:shd w:val="clear" w:color="auto" w:fill="auto"/>
          </w:tcPr>
          <w:p w:rsidR="00730516" w:rsidRPr="001F0848" w:rsidRDefault="00730516" w:rsidP="00992CFD">
            <w:pPr>
              <w:jc w:val="right"/>
            </w:pPr>
            <w:r w:rsidRPr="001F0848">
              <w:t>$</w:t>
            </w:r>
            <w:r w:rsidR="00981881">
              <w:t xml:space="preserve">   </w:t>
            </w:r>
            <w:r w:rsidR="00CA69A6">
              <w:t xml:space="preserve">     </w:t>
            </w:r>
            <w:r w:rsidR="00981881">
              <w:t xml:space="preserve"> </w:t>
            </w:r>
            <w:r w:rsidR="00CA69A6">
              <w:t>3</w:t>
            </w:r>
            <w:r w:rsidR="00992CFD">
              <w:t>05</w:t>
            </w:r>
          </w:p>
        </w:tc>
        <w:tc>
          <w:tcPr>
            <w:tcW w:w="1245" w:type="dxa"/>
            <w:tcBorders>
              <w:left w:val="nil"/>
              <w:bottom w:val="single" w:sz="4" w:space="0" w:color="auto"/>
              <w:right w:val="nil"/>
            </w:tcBorders>
            <w:shd w:val="clear" w:color="auto" w:fill="auto"/>
          </w:tcPr>
          <w:p w:rsidR="00730516" w:rsidRPr="001F0848" w:rsidRDefault="00730516" w:rsidP="00992CFD">
            <w:pPr>
              <w:jc w:val="right"/>
            </w:pPr>
            <w:r w:rsidRPr="001F0848">
              <w:t>$</w:t>
            </w:r>
            <w:r w:rsidR="00981881">
              <w:t xml:space="preserve"> </w:t>
            </w:r>
            <w:r w:rsidR="00CA69A6">
              <w:t xml:space="preserve">     </w:t>
            </w:r>
            <w:r w:rsidR="00981881">
              <w:t xml:space="preserve">   </w:t>
            </w:r>
            <w:r w:rsidR="00CA69A6">
              <w:t>3</w:t>
            </w:r>
            <w:r w:rsidR="00992CFD">
              <w:t>15</w:t>
            </w:r>
          </w:p>
        </w:tc>
        <w:tc>
          <w:tcPr>
            <w:tcW w:w="1321" w:type="dxa"/>
            <w:tcBorders>
              <w:left w:val="nil"/>
              <w:bottom w:val="single" w:sz="4" w:space="0" w:color="auto"/>
              <w:right w:val="nil"/>
            </w:tcBorders>
            <w:shd w:val="clear" w:color="auto" w:fill="auto"/>
          </w:tcPr>
          <w:p w:rsidR="00730516" w:rsidRPr="001F0848" w:rsidRDefault="00730516" w:rsidP="001F0848">
            <w:pPr>
              <w:jc w:val="right"/>
            </w:pPr>
            <w:r w:rsidRPr="001F0848">
              <w:t>NA</w:t>
            </w:r>
          </w:p>
        </w:tc>
        <w:tc>
          <w:tcPr>
            <w:tcW w:w="1322" w:type="dxa"/>
            <w:tcBorders>
              <w:left w:val="nil"/>
              <w:bottom w:val="single" w:sz="4" w:space="0" w:color="auto"/>
              <w:right w:val="nil"/>
            </w:tcBorders>
            <w:shd w:val="clear" w:color="auto" w:fill="auto"/>
          </w:tcPr>
          <w:p w:rsidR="00730516" w:rsidRPr="001F0848" w:rsidRDefault="00730516" w:rsidP="001F0848">
            <w:pPr>
              <w:jc w:val="right"/>
            </w:pPr>
            <w:r w:rsidRPr="001F0848">
              <w:t>NA</w:t>
            </w:r>
          </w:p>
        </w:tc>
      </w:tr>
      <w:tr w:rsidR="00BF6255" w:rsidRPr="001F0848" w:rsidTr="00992CFD">
        <w:trPr>
          <w:jc w:val="center"/>
        </w:trPr>
        <w:tc>
          <w:tcPr>
            <w:tcW w:w="2970" w:type="dxa"/>
            <w:tcBorders>
              <w:left w:val="nil"/>
              <w:right w:val="single" w:sz="4" w:space="0" w:color="auto"/>
            </w:tcBorders>
            <w:shd w:val="clear" w:color="auto" w:fill="auto"/>
          </w:tcPr>
          <w:p w:rsidR="00730516" w:rsidRPr="00036D86" w:rsidRDefault="00730516" w:rsidP="001F0848">
            <w:pPr>
              <w:rPr>
                <w:b/>
              </w:rPr>
            </w:pPr>
            <w:r w:rsidRPr="00036D86">
              <w:rPr>
                <w:b/>
              </w:rPr>
              <w:t>Total</w:t>
            </w:r>
          </w:p>
        </w:tc>
        <w:tc>
          <w:tcPr>
            <w:tcW w:w="1321" w:type="dxa"/>
            <w:tcBorders>
              <w:left w:val="single" w:sz="4" w:space="0" w:color="auto"/>
              <w:right w:val="nil"/>
            </w:tcBorders>
            <w:shd w:val="clear" w:color="auto" w:fill="auto"/>
          </w:tcPr>
          <w:p w:rsidR="00730516" w:rsidRPr="001F0848" w:rsidRDefault="00730516" w:rsidP="00992CFD">
            <w:pPr>
              <w:jc w:val="right"/>
            </w:pPr>
            <w:r w:rsidRPr="001F0848">
              <w:t>$</w:t>
            </w:r>
            <w:r w:rsidR="00981881">
              <w:t xml:space="preserve"> </w:t>
            </w:r>
            <w:r w:rsidR="00CA69A6">
              <w:t xml:space="preserve">     9,</w:t>
            </w:r>
            <w:r w:rsidR="00992CFD">
              <w:t>516</w:t>
            </w:r>
          </w:p>
        </w:tc>
        <w:tc>
          <w:tcPr>
            <w:tcW w:w="1397" w:type="dxa"/>
            <w:tcBorders>
              <w:left w:val="nil"/>
              <w:right w:val="nil"/>
            </w:tcBorders>
            <w:shd w:val="clear" w:color="auto" w:fill="auto"/>
          </w:tcPr>
          <w:p w:rsidR="00730516" w:rsidRPr="001F0848" w:rsidRDefault="00730516" w:rsidP="00992CFD">
            <w:pPr>
              <w:jc w:val="right"/>
            </w:pPr>
            <w:r w:rsidRPr="001F0848">
              <w:t>$</w:t>
            </w:r>
            <w:r w:rsidR="00981881">
              <w:t xml:space="preserve"> </w:t>
            </w:r>
            <w:r w:rsidR="00CA69A6">
              <w:t xml:space="preserve">     </w:t>
            </w:r>
            <w:r w:rsidR="00992CFD">
              <w:t>10,043</w:t>
            </w:r>
          </w:p>
        </w:tc>
        <w:tc>
          <w:tcPr>
            <w:tcW w:w="1245" w:type="dxa"/>
            <w:tcBorders>
              <w:left w:val="nil"/>
              <w:right w:val="nil"/>
            </w:tcBorders>
            <w:shd w:val="clear" w:color="auto" w:fill="auto"/>
          </w:tcPr>
          <w:p w:rsidR="00730516" w:rsidRPr="001F0848" w:rsidRDefault="00730516" w:rsidP="00992CFD">
            <w:pPr>
              <w:jc w:val="right"/>
            </w:pPr>
            <w:r w:rsidRPr="001F0848">
              <w:t>$</w:t>
            </w:r>
            <w:r w:rsidR="00CA69A6">
              <w:t xml:space="preserve">     </w:t>
            </w:r>
            <w:r w:rsidR="00981881">
              <w:t xml:space="preserve"> </w:t>
            </w:r>
            <w:r w:rsidR="00C065BC" w:rsidRPr="001F0848">
              <w:t>9,</w:t>
            </w:r>
            <w:r w:rsidR="00992CFD">
              <w:t>773</w:t>
            </w:r>
          </w:p>
        </w:tc>
        <w:tc>
          <w:tcPr>
            <w:tcW w:w="1321" w:type="dxa"/>
            <w:tcBorders>
              <w:left w:val="nil"/>
              <w:right w:val="nil"/>
            </w:tcBorders>
            <w:shd w:val="clear" w:color="auto" w:fill="auto"/>
          </w:tcPr>
          <w:p w:rsidR="00730516" w:rsidRPr="001F0848" w:rsidRDefault="00730516" w:rsidP="00992CFD">
            <w:pPr>
              <w:jc w:val="right"/>
            </w:pPr>
            <w:r w:rsidRPr="001F0848">
              <w:t>$</w:t>
            </w:r>
            <w:r w:rsidR="00120573">
              <w:t xml:space="preserve"> </w:t>
            </w:r>
            <w:r w:rsidR="00C065BC" w:rsidRPr="001F0848">
              <w:t>2,</w:t>
            </w:r>
            <w:r w:rsidR="00992CFD">
              <w:t>739.24</w:t>
            </w:r>
          </w:p>
        </w:tc>
        <w:tc>
          <w:tcPr>
            <w:tcW w:w="1322" w:type="dxa"/>
            <w:tcBorders>
              <w:left w:val="nil"/>
              <w:right w:val="nil"/>
            </w:tcBorders>
            <w:shd w:val="clear" w:color="auto" w:fill="auto"/>
          </w:tcPr>
          <w:p w:rsidR="00730516" w:rsidRPr="001F0848" w:rsidRDefault="00730516" w:rsidP="005D7C81">
            <w:pPr>
              <w:jc w:val="right"/>
              <w:rPr>
                <w:b/>
              </w:rPr>
            </w:pPr>
            <w:r w:rsidRPr="001F0848">
              <w:rPr>
                <w:b/>
              </w:rPr>
              <w:t>$</w:t>
            </w:r>
            <w:r w:rsidR="00981881">
              <w:rPr>
                <w:b/>
              </w:rPr>
              <w:t xml:space="preserve"> </w:t>
            </w:r>
            <w:r w:rsidR="007D3E3A" w:rsidRPr="001F0848">
              <w:rPr>
                <w:b/>
              </w:rPr>
              <w:t>22</w:t>
            </w:r>
            <w:r w:rsidR="005D7C81">
              <w:rPr>
                <w:b/>
              </w:rPr>
              <w:t>8.27</w:t>
            </w:r>
          </w:p>
        </w:tc>
      </w:tr>
    </w:tbl>
    <w:p w:rsidR="0088538C" w:rsidRPr="001F0848" w:rsidRDefault="0088538C" w:rsidP="001F0848">
      <w:pPr>
        <w:jc w:val="center"/>
        <w:outlineLvl w:val="0"/>
        <w:rPr>
          <w:b/>
        </w:rPr>
      </w:pPr>
      <w:r w:rsidRPr="001F0848">
        <w:br w:type="page"/>
      </w:r>
      <w:r w:rsidRPr="001F0848">
        <w:rPr>
          <w:b/>
        </w:rPr>
        <w:lastRenderedPageBreak/>
        <w:t>Methodology</w:t>
      </w:r>
    </w:p>
    <w:p w:rsidR="0088538C" w:rsidRPr="001F0848" w:rsidRDefault="0088538C" w:rsidP="001F0848">
      <w:pPr>
        <w:jc w:val="center"/>
        <w:outlineLvl w:val="0"/>
        <w:rPr>
          <w:b/>
        </w:rPr>
      </w:pPr>
      <w:r w:rsidRPr="001F0848">
        <w:rPr>
          <w:b/>
        </w:rPr>
        <w:t>Determination of 20</w:t>
      </w:r>
      <w:r w:rsidR="00E90C4A">
        <w:rPr>
          <w:b/>
        </w:rPr>
        <w:t>20</w:t>
      </w:r>
      <w:r w:rsidR="00937F38" w:rsidRPr="001F0848">
        <w:rPr>
          <w:b/>
        </w:rPr>
        <w:t xml:space="preserve"> </w:t>
      </w:r>
      <w:r w:rsidRPr="001F0848">
        <w:rPr>
          <w:b/>
        </w:rPr>
        <w:t>Premium Rates for</w:t>
      </w:r>
    </w:p>
    <w:p w:rsidR="0088538C" w:rsidRPr="001F0848" w:rsidRDefault="0088538C" w:rsidP="001F0848">
      <w:pPr>
        <w:jc w:val="center"/>
        <w:rPr>
          <w:b/>
        </w:rPr>
      </w:pPr>
      <w:r w:rsidRPr="001F0848">
        <w:rPr>
          <w:b/>
        </w:rPr>
        <w:t>TRICARE Retired Reserve</w:t>
      </w:r>
    </w:p>
    <w:p w:rsidR="0088538C" w:rsidRPr="001F0848" w:rsidRDefault="0088538C" w:rsidP="001F0848">
      <w:pPr>
        <w:ind w:firstLine="720"/>
      </w:pPr>
    </w:p>
    <w:p w:rsidR="0088538C" w:rsidRPr="001F0848" w:rsidRDefault="006D7E32" w:rsidP="001F0848">
      <w:pPr>
        <w:spacing w:after="100" w:afterAutospacing="1"/>
      </w:pPr>
      <w:r w:rsidRPr="001F0848">
        <w:t>Calendar Year (CY) 20</w:t>
      </w:r>
      <w:r w:rsidR="00E90C4A">
        <w:t>20</w:t>
      </w:r>
      <w:r w:rsidRPr="001F0848">
        <w:t xml:space="preserve"> TRICARE </w:t>
      </w:r>
      <w:r>
        <w:t xml:space="preserve">Retired </w:t>
      </w:r>
      <w:r w:rsidRPr="001F0848">
        <w:t>Reserve (</w:t>
      </w:r>
      <w:r>
        <w:t>TRR</w:t>
      </w:r>
      <w:r w:rsidRPr="001F0848">
        <w:t xml:space="preserve">) premium rates </w:t>
      </w:r>
      <w:r>
        <w:t>were</w:t>
      </w:r>
      <w:r w:rsidRPr="001F0848">
        <w:t xml:space="preserve"> calculated from enrollment-weighted average annual costs from CY 201</w:t>
      </w:r>
      <w:r w:rsidR="002D1162">
        <w:t>6</w:t>
      </w:r>
      <w:r w:rsidRPr="001F0848">
        <w:t xml:space="preserve"> </w:t>
      </w:r>
      <w:r>
        <w:t>and</w:t>
      </w:r>
      <w:r w:rsidRPr="001F0848">
        <w:t xml:space="preserve"> CY 201</w:t>
      </w:r>
      <w:r w:rsidR="002D1162">
        <w:t>7</w:t>
      </w:r>
      <w:r w:rsidRPr="001F0848">
        <w:t xml:space="preserve"> (base period).</w:t>
      </w:r>
    </w:p>
    <w:p w:rsidR="0088538C" w:rsidRDefault="002D1162" w:rsidP="001F0848">
      <w:pPr>
        <w:numPr>
          <w:ilvl w:val="0"/>
          <w:numId w:val="11"/>
        </w:numPr>
        <w:spacing w:after="240"/>
      </w:pPr>
      <w:r>
        <w:t>Due to TRR data not accurately captured in the Military Health System Data Repository for calendar year 2018 and beyond,</w:t>
      </w:r>
      <w:r w:rsidRPr="001F0848">
        <w:t xml:space="preserve"> </w:t>
      </w:r>
      <w:r w:rsidR="007D3E3A" w:rsidRPr="001F0848">
        <w:t xml:space="preserve">all TRR enrollees </w:t>
      </w:r>
      <w:r>
        <w:t xml:space="preserve">were identified </w:t>
      </w:r>
      <w:r w:rsidR="007D3E3A" w:rsidRPr="001F0848">
        <w:t xml:space="preserve">by </w:t>
      </w:r>
      <w:r w:rsidR="00410C70">
        <w:t>plan type (member-only coverage or member and family)</w:t>
      </w:r>
      <w:r w:rsidR="00410C70" w:rsidRPr="001F0848">
        <w:t xml:space="preserve"> </w:t>
      </w:r>
      <w:r w:rsidR="007D3E3A" w:rsidRPr="001F0848">
        <w:t>in each of the 24 months from January 1, 201</w:t>
      </w:r>
      <w:r>
        <w:t>6</w:t>
      </w:r>
      <w:r w:rsidR="00080C9B">
        <w:t>,</w:t>
      </w:r>
      <w:r w:rsidR="007D3E3A" w:rsidRPr="001F0848">
        <w:t xml:space="preserve"> through December 31, 201</w:t>
      </w:r>
      <w:r>
        <w:t>7</w:t>
      </w:r>
      <w:r w:rsidR="003A1BCE">
        <w:t>.</w:t>
      </w:r>
    </w:p>
    <w:p w:rsidR="00244ED0" w:rsidRPr="001F0848" w:rsidRDefault="00244ED0" w:rsidP="00244ED0">
      <w:pPr>
        <w:numPr>
          <w:ilvl w:val="0"/>
          <w:numId w:val="11"/>
        </w:numPr>
        <w:spacing w:after="240"/>
      </w:pPr>
      <w:r w:rsidRPr="001F0848">
        <w:t xml:space="preserve">Applied </w:t>
      </w:r>
      <w:r>
        <w:t>1.61 percent</w:t>
      </w:r>
      <w:r w:rsidRPr="001F0848">
        <w:t xml:space="preserve"> trend </w:t>
      </w:r>
      <w:r>
        <w:t xml:space="preserve">adjustment </w:t>
      </w:r>
      <w:r w:rsidRPr="001F0848">
        <w:t xml:space="preserve">for each plan type from </w:t>
      </w:r>
      <w:r>
        <w:t>base years</w:t>
      </w:r>
      <w:r w:rsidRPr="001F0848">
        <w:t xml:space="preserve"> to 20</w:t>
      </w:r>
      <w:r>
        <w:t>20</w:t>
      </w:r>
      <w:r w:rsidRPr="001F0848">
        <w:t xml:space="preserve">. </w:t>
      </w:r>
    </w:p>
    <w:p w:rsidR="00C42305" w:rsidRDefault="00C42305" w:rsidP="00C42305">
      <w:pPr>
        <w:numPr>
          <w:ilvl w:val="0"/>
          <w:numId w:val="11"/>
        </w:numPr>
        <w:spacing w:after="240"/>
      </w:pPr>
      <w:r>
        <w:t>Constructed</w:t>
      </w:r>
      <w:r w:rsidRPr="001F0848">
        <w:t xml:space="preserve"> </w:t>
      </w:r>
      <w:r>
        <w:t xml:space="preserve">monthly </w:t>
      </w:r>
      <w:r w:rsidRPr="001F0848">
        <w:t xml:space="preserve">government </w:t>
      </w:r>
      <w:r>
        <w:t xml:space="preserve">TRR </w:t>
      </w:r>
      <w:r w:rsidRPr="001F0848">
        <w:t xml:space="preserve">health care costs (including </w:t>
      </w:r>
      <w:r w:rsidR="00080C9B" w:rsidRPr="001F0848">
        <w:t>M</w:t>
      </w:r>
      <w:r w:rsidR="00080C9B">
        <w:t xml:space="preserve">ilitary </w:t>
      </w:r>
      <w:r w:rsidR="00080C9B" w:rsidRPr="001F0848">
        <w:t>T</w:t>
      </w:r>
      <w:r w:rsidR="00080C9B">
        <w:t xml:space="preserve">reatment </w:t>
      </w:r>
      <w:r w:rsidR="00080C9B" w:rsidRPr="001F0848">
        <w:t>F</w:t>
      </w:r>
      <w:r w:rsidR="00080C9B">
        <w:t>acilities</w:t>
      </w:r>
      <w:r w:rsidRPr="001F0848">
        <w:t xml:space="preserve"> and purchased care costs)</w:t>
      </w:r>
      <w:r>
        <w:t xml:space="preserve"> for each plan type </w:t>
      </w:r>
      <w:r w:rsidRPr="001F0848">
        <w:t xml:space="preserve">in each of the </w:t>
      </w:r>
      <w:r>
        <w:t xml:space="preserve">base </w:t>
      </w:r>
      <w:r w:rsidRPr="001F0848">
        <w:t>years</w:t>
      </w:r>
      <w:r>
        <w:t xml:space="preserve"> and d</w:t>
      </w:r>
      <w:r w:rsidRPr="001F0848">
        <w:t xml:space="preserve">etermined the weighted average government health care costs </w:t>
      </w:r>
      <w:r>
        <w:t>for</w:t>
      </w:r>
      <w:r w:rsidRPr="001F0848">
        <w:t xml:space="preserve"> the two </w:t>
      </w:r>
      <w:r>
        <w:t xml:space="preserve">base </w:t>
      </w:r>
      <w:r w:rsidRPr="001F0848">
        <w:t>years</w:t>
      </w:r>
      <w:r>
        <w:t xml:space="preserve"> </w:t>
      </w:r>
      <w:r w:rsidRPr="001F0848">
        <w:t xml:space="preserve">separately by </w:t>
      </w:r>
      <w:r>
        <w:t>plan</w:t>
      </w:r>
      <w:r w:rsidRPr="001F0848">
        <w:t xml:space="preserve"> type.  </w:t>
      </w:r>
    </w:p>
    <w:p w:rsidR="00C42305" w:rsidRPr="001F0848" w:rsidRDefault="00C42305" w:rsidP="00C42305">
      <w:pPr>
        <w:numPr>
          <w:ilvl w:val="0"/>
          <w:numId w:val="11"/>
        </w:numPr>
        <w:spacing w:after="240"/>
      </w:pPr>
      <w:r>
        <w:t>Constructed</w:t>
      </w:r>
      <w:r w:rsidRPr="001F0848">
        <w:t xml:space="preserve"> </w:t>
      </w:r>
      <w:r>
        <w:t xml:space="preserve">monthly </w:t>
      </w:r>
      <w:r w:rsidRPr="001F0848">
        <w:t>TR</w:t>
      </w:r>
      <w:r>
        <w:t>R</w:t>
      </w:r>
      <w:r w:rsidRPr="001F0848">
        <w:t xml:space="preserve"> administrative costs</w:t>
      </w:r>
      <w:r w:rsidRPr="00DB1068">
        <w:t xml:space="preserve"> </w:t>
      </w:r>
      <w:r>
        <w:t>(</w:t>
      </w:r>
      <w:r w:rsidR="00080C9B">
        <w:t>per eligible per month</w:t>
      </w:r>
      <w:r w:rsidRPr="001F0848">
        <w:t xml:space="preserve"> administrative costs and claims processing </w:t>
      </w:r>
      <w:r>
        <w:t xml:space="preserve">costs </w:t>
      </w:r>
      <w:r w:rsidRPr="001F0848">
        <w:t>including Retail Pharmacy</w:t>
      </w:r>
      <w:r>
        <w:t xml:space="preserve">) </w:t>
      </w:r>
      <w:r w:rsidRPr="001F0848">
        <w:t xml:space="preserve">in </w:t>
      </w:r>
      <w:r>
        <w:t xml:space="preserve">base </w:t>
      </w:r>
      <w:r w:rsidRPr="001F0848">
        <w:t>year</w:t>
      </w:r>
      <w:r w:rsidRPr="00DB1068">
        <w:t xml:space="preserve"> </w:t>
      </w:r>
      <w:r w:rsidRPr="001F0848">
        <w:t xml:space="preserve">and determined the weighted average </w:t>
      </w:r>
      <w:r>
        <w:t xml:space="preserve">in each </w:t>
      </w:r>
      <w:r w:rsidRPr="001F0848">
        <w:t xml:space="preserve">of the two </w:t>
      </w:r>
      <w:r>
        <w:t xml:space="preserve">base </w:t>
      </w:r>
      <w:r w:rsidRPr="001F0848">
        <w:t>years</w:t>
      </w:r>
      <w:r>
        <w:t xml:space="preserve"> </w:t>
      </w:r>
      <w:r w:rsidRPr="001F0848">
        <w:t xml:space="preserve">separately by </w:t>
      </w:r>
      <w:r>
        <w:t>plan</w:t>
      </w:r>
      <w:r w:rsidRPr="001F0848">
        <w:t xml:space="preserve"> type.  </w:t>
      </w:r>
    </w:p>
    <w:p w:rsidR="00FF6BEC" w:rsidRPr="001F0848" w:rsidRDefault="00FF6BEC" w:rsidP="00FF6BEC">
      <w:pPr>
        <w:numPr>
          <w:ilvl w:val="0"/>
          <w:numId w:val="11"/>
        </w:numPr>
        <w:spacing w:after="240"/>
      </w:pPr>
      <w:r w:rsidRPr="001F0848">
        <w:t xml:space="preserve">Calculated the </w:t>
      </w:r>
      <w:r>
        <w:t xml:space="preserve">total </w:t>
      </w:r>
      <w:r w:rsidRPr="001F0848">
        <w:t xml:space="preserve">enrollment-weighted average for </w:t>
      </w:r>
      <w:r>
        <w:t>each of the two base years</w:t>
      </w:r>
      <w:r w:rsidRPr="001F0848">
        <w:t xml:space="preserve"> separately </w:t>
      </w:r>
      <w:r>
        <w:br/>
      </w:r>
      <w:r w:rsidRPr="001F0848">
        <w:t>for the two types of coverage (</w:t>
      </w:r>
      <w:r>
        <w:fldChar w:fldCharType="begin"/>
      </w:r>
      <w:r>
        <w:instrText xml:space="preserve"> REF _Ref484076792 \h </w:instrText>
      </w:r>
      <w:r>
        <w:fldChar w:fldCharType="separate"/>
      </w:r>
      <w:r w:rsidR="00120573" w:rsidRPr="00FF6BEC">
        <w:t xml:space="preserve">Table </w:t>
      </w:r>
      <w:r w:rsidR="00120573">
        <w:rPr>
          <w:noProof/>
        </w:rPr>
        <w:t>2</w:t>
      </w:r>
      <w:r>
        <w:fldChar w:fldCharType="end"/>
      </w:r>
      <w:r w:rsidRPr="001F0848">
        <w:t xml:space="preserve">).  </w:t>
      </w:r>
    </w:p>
    <w:p w:rsidR="00FF6BEC" w:rsidRPr="001F0848" w:rsidRDefault="00E34B83" w:rsidP="00E34B83">
      <w:pPr>
        <w:numPr>
          <w:ilvl w:val="0"/>
          <w:numId w:val="11"/>
        </w:numPr>
        <w:spacing w:after="240"/>
      </w:pPr>
      <w:r w:rsidRPr="00E34B83">
        <w:rPr>
          <w:color w:val="000000"/>
        </w:rPr>
        <w:t>Applied program adjustment (0.1 percent) to account for the new cost sharing provisions that are part of the TRICARE Select benefit structure under Section 1075(d)(1) of Title 10, U.S. Code, as enacted by Section 701 of National Defense Authorization Act for Fiscal Year 2017; Public Law 114 328</w:t>
      </w:r>
      <w:r w:rsidR="00FF6BEC" w:rsidRPr="001F0848">
        <w:t xml:space="preserve">. </w:t>
      </w:r>
    </w:p>
    <w:p w:rsidR="00E51918" w:rsidRDefault="00E51918" w:rsidP="001F0848">
      <w:pPr>
        <w:numPr>
          <w:ilvl w:val="0"/>
          <w:numId w:val="11"/>
        </w:numPr>
        <w:spacing w:after="240"/>
      </w:pPr>
      <w:r w:rsidRPr="001F0848">
        <w:t>Applied adjustment for healthcare costs not reflected in encounter data, including pharmacy rebates, and DRG/capital payments</w:t>
      </w:r>
      <w:r w:rsidR="00C42305">
        <w:t xml:space="preserve"> </w:t>
      </w:r>
      <w:r w:rsidR="00C42305" w:rsidRPr="009B23A2">
        <w:t>(</w:t>
      </w:r>
      <w:r w:rsidR="003A1BCE">
        <w:t>3.2</w:t>
      </w:r>
      <w:r w:rsidR="00C42305" w:rsidRPr="009B23A2">
        <w:t xml:space="preserve"> percent reduction)</w:t>
      </w:r>
      <w:r w:rsidRPr="001F0848">
        <w:t>.</w:t>
      </w:r>
    </w:p>
    <w:p w:rsidR="0088538C" w:rsidRPr="001F0848" w:rsidRDefault="00FF6BEC" w:rsidP="001F0848">
      <w:pPr>
        <w:numPr>
          <w:ilvl w:val="0"/>
          <w:numId w:val="11"/>
        </w:numPr>
        <w:spacing w:after="240"/>
      </w:pPr>
      <w:r>
        <w:t>Applied</w:t>
      </w:r>
      <w:r w:rsidR="0088538C" w:rsidRPr="001F0848">
        <w:t xml:space="preserve"> a two percent overhead cost to account for internal D</w:t>
      </w:r>
      <w:r w:rsidR="00080C9B">
        <w:t xml:space="preserve">epartment </w:t>
      </w:r>
      <w:r w:rsidR="0088538C" w:rsidRPr="001F0848">
        <w:t>o</w:t>
      </w:r>
      <w:r w:rsidR="00080C9B">
        <w:t xml:space="preserve">f </w:t>
      </w:r>
      <w:r w:rsidR="0088538C" w:rsidRPr="001F0848">
        <w:t>D</w:t>
      </w:r>
      <w:r w:rsidR="00080C9B">
        <w:t>efense</w:t>
      </w:r>
      <w:r w:rsidR="0088538C" w:rsidRPr="001F0848">
        <w:t xml:space="preserve"> costs </w:t>
      </w:r>
      <w:r w:rsidR="000358B7" w:rsidRPr="001F0848">
        <w:t>with</w:t>
      </w:r>
      <w:r w:rsidR="0088538C" w:rsidRPr="001F0848">
        <w:t xml:space="preserve"> administering TRR.</w:t>
      </w:r>
    </w:p>
    <w:p w:rsidR="00FF6BEC" w:rsidRDefault="0088538C" w:rsidP="001F0848">
      <w:r w:rsidRPr="001F0848">
        <w:t xml:space="preserve">The resulting monthly </w:t>
      </w:r>
      <w:r w:rsidR="00236584">
        <w:t xml:space="preserve">TRR </w:t>
      </w:r>
      <w:r w:rsidRPr="001F0848">
        <w:t xml:space="preserve">premium rates </w:t>
      </w:r>
      <w:r w:rsidR="00236584" w:rsidRPr="001F0848">
        <w:t>for calendar year 20</w:t>
      </w:r>
      <w:r w:rsidR="00E90C4A">
        <w:t>20</w:t>
      </w:r>
      <w:r w:rsidR="00236584">
        <w:t xml:space="preserve"> </w:t>
      </w:r>
      <w:r w:rsidR="00FF6BEC">
        <w:t>(</w:t>
      </w:r>
      <w:r w:rsidR="00FF6BEC">
        <w:fldChar w:fldCharType="begin"/>
      </w:r>
      <w:r w:rsidR="00FF6BEC">
        <w:instrText xml:space="preserve"> REF _Ref484076792 \h </w:instrText>
      </w:r>
      <w:r w:rsidR="00FF6BEC">
        <w:fldChar w:fldCharType="separate"/>
      </w:r>
      <w:r w:rsidR="00120573" w:rsidRPr="00FF6BEC">
        <w:t xml:space="preserve">Table </w:t>
      </w:r>
      <w:r w:rsidR="00120573">
        <w:rPr>
          <w:noProof/>
        </w:rPr>
        <w:t>2</w:t>
      </w:r>
      <w:r w:rsidR="00FF6BEC">
        <w:fldChar w:fldCharType="end"/>
      </w:r>
      <w:r w:rsidR="00FF6BEC">
        <w:t xml:space="preserve">) </w:t>
      </w:r>
      <w:r w:rsidRPr="001F0848">
        <w:t>are</w:t>
      </w:r>
      <w:r w:rsidR="00FF6BEC">
        <w:t>:</w:t>
      </w:r>
    </w:p>
    <w:p w:rsidR="00FF6BEC" w:rsidRDefault="00FF6BEC" w:rsidP="001F0848">
      <w:r>
        <w:tab/>
      </w:r>
      <w:r w:rsidR="0088538C" w:rsidRPr="001F0848">
        <w:rPr>
          <w:b/>
        </w:rPr>
        <w:t>$</w:t>
      </w:r>
      <w:r w:rsidR="00080C9B">
        <w:rPr>
          <w:b/>
        </w:rPr>
        <w:t xml:space="preserve"> </w:t>
      </w:r>
      <w:r w:rsidR="00E057EB">
        <w:rPr>
          <w:b/>
        </w:rPr>
        <w:t xml:space="preserve">   </w:t>
      </w:r>
      <w:r w:rsidR="00C66CDE">
        <w:rPr>
          <w:b/>
        </w:rPr>
        <w:t>44</w:t>
      </w:r>
      <w:r w:rsidR="005D6C57">
        <w:rPr>
          <w:b/>
        </w:rPr>
        <w:t>4</w:t>
      </w:r>
      <w:r w:rsidR="00C66CDE">
        <w:rPr>
          <w:b/>
        </w:rPr>
        <w:t>.37</w:t>
      </w:r>
      <w:r w:rsidR="00236584">
        <w:rPr>
          <w:b/>
        </w:rPr>
        <w:tab/>
      </w:r>
      <w:r w:rsidR="0088538C" w:rsidRPr="001F0848">
        <w:t xml:space="preserve">TRR member-only </w:t>
      </w:r>
      <w:r w:rsidR="00236584">
        <w:t>plan</w:t>
      </w:r>
      <w:r w:rsidR="0088538C" w:rsidRPr="001F0848">
        <w:t xml:space="preserve"> and </w:t>
      </w:r>
    </w:p>
    <w:p w:rsidR="0088538C" w:rsidRPr="001F0848" w:rsidRDefault="00FF6BEC" w:rsidP="001F0848">
      <w:r>
        <w:tab/>
      </w:r>
      <w:r w:rsidR="0088538C" w:rsidRPr="001F0848">
        <w:rPr>
          <w:b/>
        </w:rPr>
        <w:t>$</w:t>
      </w:r>
      <w:r w:rsidR="00E057EB">
        <w:rPr>
          <w:b/>
        </w:rPr>
        <w:t xml:space="preserve">   </w:t>
      </w:r>
      <w:r>
        <w:rPr>
          <w:b/>
        </w:rPr>
        <w:t xml:space="preserve"> </w:t>
      </w:r>
      <w:r w:rsidR="00066147" w:rsidRPr="001F0848">
        <w:rPr>
          <w:b/>
        </w:rPr>
        <w:t>1,</w:t>
      </w:r>
      <w:r w:rsidR="006D7E32">
        <w:rPr>
          <w:b/>
        </w:rPr>
        <w:t>0</w:t>
      </w:r>
      <w:r w:rsidR="00C66CDE">
        <w:rPr>
          <w:b/>
        </w:rPr>
        <w:t>66.26</w:t>
      </w:r>
      <w:r w:rsidR="00236584">
        <w:rPr>
          <w:b/>
        </w:rPr>
        <w:tab/>
      </w:r>
      <w:r w:rsidR="0088538C" w:rsidRPr="001F0848">
        <w:t>TRR member and family coverage.</w:t>
      </w:r>
    </w:p>
    <w:p w:rsidR="00CD5A30" w:rsidRPr="001F0848" w:rsidRDefault="00CD5A30" w:rsidP="001F0848"/>
    <w:p w:rsidR="00FF6BEC" w:rsidRPr="00FF6BEC" w:rsidRDefault="00FF6BEC" w:rsidP="00981881">
      <w:pPr>
        <w:pStyle w:val="Caption"/>
        <w:keepNext/>
        <w:spacing w:after="120"/>
        <w:rPr>
          <w:sz w:val="24"/>
          <w:szCs w:val="24"/>
        </w:rPr>
      </w:pPr>
      <w:bookmarkStart w:id="3" w:name="_Ref484076792"/>
      <w:r w:rsidRPr="00FF6BEC">
        <w:rPr>
          <w:sz w:val="24"/>
          <w:szCs w:val="24"/>
        </w:rPr>
        <w:lastRenderedPageBreak/>
        <w:t xml:space="preserve">Table </w:t>
      </w:r>
      <w:r w:rsidRPr="00FF6BEC">
        <w:rPr>
          <w:sz w:val="24"/>
          <w:szCs w:val="24"/>
        </w:rPr>
        <w:fldChar w:fldCharType="begin"/>
      </w:r>
      <w:r w:rsidRPr="00FF6BEC">
        <w:rPr>
          <w:sz w:val="24"/>
          <w:szCs w:val="24"/>
        </w:rPr>
        <w:instrText xml:space="preserve"> SEQ Table \* ARABIC </w:instrText>
      </w:r>
      <w:r w:rsidRPr="00FF6BEC">
        <w:rPr>
          <w:sz w:val="24"/>
          <w:szCs w:val="24"/>
        </w:rPr>
        <w:fldChar w:fldCharType="separate"/>
      </w:r>
      <w:r w:rsidR="00120573">
        <w:rPr>
          <w:noProof/>
          <w:sz w:val="24"/>
          <w:szCs w:val="24"/>
        </w:rPr>
        <w:t>2</w:t>
      </w:r>
      <w:r w:rsidRPr="00FF6BEC">
        <w:rPr>
          <w:sz w:val="24"/>
          <w:szCs w:val="24"/>
        </w:rPr>
        <w:fldChar w:fldCharType="end"/>
      </w:r>
      <w:bookmarkEnd w:id="3"/>
      <w:r w:rsidRPr="00FF6BEC">
        <w:rPr>
          <w:sz w:val="24"/>
          <w:szCs w:val="24"/>
        </w:rPr>
        <w:t xml:space="preserve"> –Calendar Year 20</w:t>
      </w:r>
      <w:r w:rsidR="00E90C4A">
        <w:rPr>
          <w:sz w:val="24"/>
          <w:szCs w:val="24"/>
        </w:rPr>
        <w:t>20</w:t>
      </w:r>
      <w:r w:rsidRPr="00FF6BEC">
        <w:rPr>
          <w:sz w:val="24"/>
          <w:szCs w:val="24"/>
        </w:rPr>
        <w:t xml:space="preserve"> TR</w:t>
      </w:r>
      <w:r w:rsidR="00EA1DC4">
        <w:rPr>
          <w:sz w:val="24"/>
          <w:szCs w:val="24"/>
        </w:rPr>
        <w:t>R</w:t>
      </w:r>
      <w:r w:rsidRPr="00FF6BEC">
        <w:rPr>
          <w:sz w:val="24"/>
          <w:szCs w:val="24"/>
        </w:rPr>
        <w:t xml:space="preserve"> Premium Buildup</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321"/>
        <w:gridCol w:w="1321"/>
        <w:gridCol w:w="1321"/>
        <w:gridCol w:w="1321"/>
        <w:gridCol w:w="1322"/>
        <w:tblGridChange w:id="4">
          <w:tblGrid>
            <w:gridCol w:w="2970"/>
            <w:gridCol w:w="1321"/>
            <w:gridCol w:w="1321"/>
            <w:gridCol w:w="1321"/>
            <w:gridCol w:w="1321"/>
            <w:gridCol w:w="1322"/>
          </w:tblGrid>
        </w:tblGridChange>
      </w:tblGrid>
      <w:tr w:rsidR="00981881" w:rsidRPr="001F0848" w:rsidTr="005F77BF">
        <w:trPr>
          <w:jc w:val="center"/>
        </w:trPr>
        <w:tc>
          <w:tcPr>
            <w:tcW w:w="2970" w:type="dxa"/>
            <w:tcBorders>
              <w:left w:val="nil"/>
              <w:bottom w:val="single" w:sz="12" w:space="0" w:color="auto"/>
              <w:right w:val="single" w:sz="4" w:space="0" w:color="auto"/>
            </w:tcBorders>
            <w:shd w:val="clear" w:color="auto" w:fill="auto"/>
          </w:tcPr>
          <w:p w:rsidR="00981881" w:rsidRPr="001F0848" w:rsidRDefault="00981881" w:rsidP="00981881">
            <w:pPr>
              <w:keepNext/>
              <w:jc w:val="center"/>
              <w:rPr>
                <w:b/>
              </w:rPr>
            </w:pPr>
          </w:p>
        </w:tc>
        <w:tc>
          <w:tcPr>
            <w:tcW w:w="1321" w:type="dxa"/>
            <w:tcBorders>
              <w:left w:val="single" w:sz="4" w:space="0" w:color="auto"/>
              <w:bottom w:val="single" w:sz="12" w:space="0" w:color="auto"/>
              <w:right w:val="nil"/>
            </w:tcBorders>
            <w:shd w:val="clear" w:color="auto" w:fill="auto"/>
          </w:tcPr>
          <w:p w:rsidR="00981881" w:rsidRPr="001F0848" w:rsidRDefault="006D7E32" w:rsidP="00981881">
            <w:pPr>
              <w:keepNext/>
              <w:jc w:val="center"/>
              <w:rPr>
                <w:b/>
              </w:rPr>
            </w:pPr>
            <w:r>
              <w:rPr>
                <w:b/>
              </w:rPr>
              <w:t>CY 201</w:t>
            </w:r>
            <w:r w:rsidR="0003093E">
              <w:rPr>
                <w:b/>
              </w:rPr>
              <w:t>6</w:t>
            </w:r>
          </w:p>
          <w:p w:rsidR="00981881" w:rsidRPr="001F0848" w:rsidRDefault="00981881" w:rsidP="00981881">
            <w:pPr>
              <w:keepNext/>
              <w:jc w:val="center"/>
              <w:rPr>
                <w:b/>
              </w:rPr>
            </w:pPr>
            <w:r w:rsidRPr="001F0848">
              <w:rPr>
                <w:b/>
              </w:rPr>
              <w:t>Costs</w:t>
            </w:r>
          </w:p>
        </w:tc>
        <w:tc>
          <w:tcPr>
            <w:tcW w:w="1321" w:type="dxa"/>
            <w:tcBorders>
              <w:left w:val="nil"/>
              <w:bottom w:val="single" w:sz="12" w:space="0" w:color="auto"/>
              <w:right w:val="nil"/>
            </w:tcBorders>
            <w:shd w:val="clear" w:color="auto" w:fill="auto"/>
          </w:tcPr>
          <w:p w:rsidR="00981881" w:rsidRPr="001F0848" w:rsidRDefault="00981881" w:rsidP="00981881">
            <w:pPr>
              <w:keepNext/>
              <w:jc w:val="center"/>
              <w:rPr>
                <w:b/>
              </w:rPr>
            </w:pPr>
            <w:r w:rsidRPr="001F0848">
              <w:rPr>
                <w:b/>
              </w:rPr>
              <w:t>CY 201</w:t>
            </w:r>
            <w:r w:rsidR="0003093E">
              <w:rPr>
                <w:b/>
              </w:rPr>
              <w:t>7</w:t>
            </w:r>
          </w:p>
          <w:p w:rsidR="00981881" w:rsidRPr="001F0848" w:rsidRDefault="00981881" w:rsidP="00981881">
            <w:pPr>
              <w:keepNext/>
              <w:jc w:val="center"/>
              <w:rPr>
                <w:b/>
              </w:rPr>
            </w:pPr>
            <w:r w:rsidRPr="001F0848">
              <w:rPr>
                <w:b/>
              </w:rPr>
              <w:t>Costs</w:t>
            </w:r>
          </w:p>
        </w:tc>
        <w:tc>
          <w:tcPr>
            <w:tcW w:w="1321" w:type="dxa"/>
            <w:tcBorders>
              <w:left w:val="nil"/>
              <w:bottom w:val="single" w:sz="12" w:space="0" w:color="auto"/>
              <w:right w:val="nil"/>
            </w:tcBorders>
            <w:shd w:val="clear" w:color="auto" w:fill="auto"/>
          </w:tcPr>
          <w:p w:rsidR="00981881" w:rsidRPr="001F0848" w:rsidRDefault="00981881" w:rsidP="00981881">
            <w:pPr>
              <w:keepNext/>
              <w:jc w:val="center"/>
            </w:pPr>
            <w:r w:rsidRPr="001F0848">
              <w:rPr>
                <w:b/>
              </w:rPr>
              <w:t>Weighted Average</w:t>
            </w:r>
          </w:p>
        </w:tc>
        <w:tc>
          <w:tcPr>
            <w:tcW w:w="1321" w:type="dxa"/>
            <w:tcBorders>
              <w:left w:val="nil"/>
              <w:bottom w:val="single" w:sz="12" w:space="0" w:color="auto"/>
              <w:right w:val="nil"/>
            </w:tcBorders>
            <w:shd w:val="clear" w:color="auto" w:fill="auto"/>
          </w:tcPr>
          <w:p w:rsidR="00981881" w:rsidRPr="001F0848" w:rsidRDefault="00981881" w:rsidP="00981881">
            <w:pPr>
              <w:keepNext/>
              <w:jc w:val="center"/>
              <w:rPr>
                <w:b/>
              </w:rPr>
            </w:pPr>
            <w:r>
              <w:rPr>
                <w:b/>
              </w:rPr>
              <w:t>Adjust</w:t>
            </w:r>
          </w:p>
        </w:tc>
        <w:tc>
          <w:tcPr>
            <w:tcW w:w="1322" w:type="dxa"/>
            <w:tcBorders>
              <w:left w:val="nil"/>
              <w:bottom w:val="single" w:sz="12" w:space="0" w:color="auto"/>
              <w:right w:val="nil"/>
            </w:tcBorders>
            <w:shd w:val="clear" w:color="auto" w:fill="auto"/>
          </w:tcPr>
          <w:p w:rsidR="00981881" w:rsidRPr="001F0848" w:rsidRDefault="00981881" w:rsidP="00981881">
            <w:pPr>
              <w:keepNext/>
              <w:jc w:val="center"/>
              <w:rPr>
                <w:b/>
              </w:rPr>
            </w:pPr>
            <w:r w:rsidRPr="001F0848">
              <w:rPr>
                <w:b/>
              </w:rPr>
              <w:t>Monthly Rate</w:t>
            </w:r>
          </w:p>
        </w:tc>
      </w:tr>
      <w:tr w:rsidR="00981881" w:rsidRPr="001F0848" w:rsidTr="005F77BF">
        <w:trPr>
          <w:jc w:val="center"/>
        </w:trPr>
        <w:tc>
          <w:tcPr>
            <w:tcW w:w="2970" w:type="dxa"/>
            <w:tcBorders>
              <w:top w:val="single" w:sz="12" w:space="0" w:color="auto"/>
              <w:left w:val="nil"/>
              <w:bottom w:val="single" w:sz="12" w:space="0" w:color="auto"/>
              <w:right w:val="single" w:sz="4" w:space="0" w:color="auto"/>
            </w:tcBorders>
            <w:shd w:val="clear" w:color="auto" w:fill="auto"/>
          </w:tcPr>
          <w:p w:rsidR="00981881" w:rsidRPr="001F0848" w:rsidRDefault="00981881" w:rsidP="00981881">
            <w:pPr>
              <w:keepNext/>
              <w:rPr>
                <w:b/>
              </w:rPr>
            </w:pPr>
            <w:r w:rsidRPr="001F0848">
              <w:rPr>
                <w:b/>
              </w:rPr>
              <w:t>TR</w:t>
            </w:r>
            <w:r>
              <w:rPr>
                <w:b/>
              </w:rPr>
              <w:t>R</w:t>
            </w:r>
            <w:r w:rsidRPr="001F0848">
              <w:rPr>
                <w:b/>
              </w:rPr>
              <w:t xml:space="preserve"> Member Only</w:t>
            </w:r>
          </w:p>
        </w:tc>
        <w:tc>
          <w:tcPr>
            <w:tcW w:w="1321" w:type="dxa"/>
            <w:tcBorders>
              <w:top w:val="single" w:sz="12" w:space="0" w:color="auto"/>
              <w:left w:val="single" w:sz="4" w:space="0" w:color="auto"/>
              <w:bottom w:val="single" w:sz="12" w:space="0" w:color="auto"/>
              <w:right w:val="nil"/>
            </w:tcBorders>
            <w:shd w:val="clear" w:color="auto" w:fill="auto"/>
          </w:tcPr>
          <w:p w:rsidR="00981881" w:rsidRPr="001F0848" w:rsidRDefault="00981881" w:rsidP="00981881">
            <w:pPr>
              <w:keepNext/>
              <w:jc w:val="right"/>
            </w:pPr>
          </w:p>
        </w:tc>
        <w:tc>
          <w:tcPr>
            <w:tcW w:w="1321"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c>
          <w:tcPr>
            <w:tcW w:w="1321"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c>
          <w:tcPr>
            <w:tcW w:w="1321"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c>
          <w:tcPr>
            <w:tcW w:w="1322"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r>
      <w:tr w:rsidR="00981881" w:rsidRPr="001F0848" w:rsidTr="005F77BF">
        <w:trPr>
          <w:jc w:val="center"/>
        </w:trPr>
        <w:tc>
          <w:tcPr>
            <w:tcW w:w="2970" w:type="dxa"/>
            <w:tcBorders>
              <w:top w:val="single" w:sz="12" w:space="0" w:color="auto"/>
              <w:left w:val="nil"/>
              <w:right w:val="single" w:sz="4" w:space="0" w:color="auto"/>
            </w:tcBorders>
            <w:shd w:val="clear" w:color="auto" w:fill="auto"/>
          </w:tcPr>
          <w:p w:rsidR="00981881" w:rsidRPr="001F0848" w:rsidRDefault="00981881" w:rsidP="00981881">
            <w:pPr>
              <w:keepNext/>
            </w:pPr>
            <w:r w:rsidRPr="001F0848">
              <w:tab/>
              <w:t>Healthcare</w:t>
            </w:r>
          </w:p>
        </w:tc>
        <w:tc>
          <w:tcPr>
            <w:tcW w:w="1321" w:type="dxa"/>
            <w:tcBorders>
              <w:top w:val="single" w:sz="12" w:space="0" w:color="auto"/>
              <w:left w:val="single" w:sz="4" w:space="0" w:color="auto"/>
              <w:right w:val="nil"/>
            </w:tcBorders>
            <w:shd w:val="clear" w:color="auto" w:fill="auto"/>
          </w:tcPr>
          <w:p w:rsidR="00981881" w:rsidRPr="001F0848" w:rsidRDefault="00981881" w:rsidP="0003093E">
            <w:pPr>
              <w:keepNext/>
              <w:jc w:val="right"/>
            </w:pPr>
            <w:r w:rsidRPr="001F0848">
              <w:t>$</w:t>
            </w:r>
            <w:r>
              <w:t xml:space="preserve">   </w:t>
            </w:r>
            <w:r w:rsidR="00F17617">
              <w:t>4,67</w:t>
            </w:r>
            <w:r w:rsidR="0003093E">
              <w:t>8</w:t>
            </w:r>
          </w:p>
        </w:tc>
        <w:tc>
          <w:tcPr>
            <w:tcW w:w="1321" w:type="dxa"/>
            <w:tcBorders>
              <w:top w:val="single" w:sz="12" w:space="0" w:color="auto"/>
              <w:left w:val="nil"/>
              <w:right w:val="nil"/>
            </w:tcBorders>
            <w:shd w:val="clear" w:color="auto" w:fill="auto"/>
          </w:tcPr>
          <w:p w:rsidR="00981881" w:rsidRPr="001F0848" w:rsidRDefault="00981881" w:rsidP="0003093E">
            <w:pPr>
              <w:keepNext/>
              <w:jc w:val="right"/>
            </w:pPr>
            <w:r w:rsidRPr="001F0848">
              <w:t>$</w:t>
            </w:r>
            <w:r>
              <w:t xml:space="preserve">   </w:t>
            </w:r>
            <w:r w:rsidR="00F17617">
              <w:t>5,0</w:t>
            </w:r>
            <w:r w:rsidR="0003093E">
              <w:t>10</w:t>
            </w:r>
          </w:p>
        </w:tc>
        <w:tc>
          <w:tcPr>
            <w:tcW w:w="1321" w:type="dxa"/>
            <w:tcBorders>
              <w:top w:val="single" w:sz="12" w:space="0" w:color="auto"/>
              <w:left w:val="nil"/>
              <w:right w:val="nil"/>
            </w:tcBorders>
            <w:shd w:val="clear" w:color="auto" w:fill="auto"/>
          </w:tcPr>
          <w:p w:rsidR="00981881" w:rsidRPr="001F0848" w:rsidRDefault="00981881" w:rsidP="0003093E">
            <w:pPr>
              <w:keepNext/>
              <w:jc w:val="right"/>
            </w:pPr>
            <w:r w:rsidRPr="001F0848">
              <w:t>$</w:t>
            </w:r>
            <w:r>
              <w:t xml:space="preserve">   </w:t>
            </w:r>
            <w:r w:rsidRPr="001F0848">
              <w:t>4,</w:t>
            </w:r>
            <w:r w:rsidR="00AF7993">
              <w:t>8</w:t>
            </w:r>
            <w:r w:rsidR="0003093E">
              <w:t>5</w:t>
            </w:r>
            <w:r w:rsidR="00AF7993">
              <w:t>3</w:t>
            </w:r>
          </w:p>
        </w:tc>
        <w:tc>
          <w:tcPr>
            <w:tcW w:w="1321" w:type="dxa"/>
            <w:tcBorders>
              <w:top w:val="single" w:sz="12" w:space="0" w:color="auto"/>
              <w:left w:val="nil"/>
              <w:right w:val="nil"/>
            </w:tcBorders>
            <w:shd w:val="clear" w:color="auto" w:fill="auto"/>
          </w:tcPr>
          <w:p w:rsidR="00981881" w:rsidRPr="001F0848" w:rsidRDefault="00981881" w:rsidP="00981881">
            <w:pPr>
              <w:keepNext/>
              <w:jc w:val="right"/>
            </w:pPr>
            <w:r w:rsidRPr="001F0848">
              <w:t>NA</w:t>
            </w:r>
          </w:p>
        </w:tc>
        <w:tc>
          <w:tcPr>
            <w:tcW w:w="1322" w:type="dxa"/>
            <w:tcBorders>
              <w:top w:val="single" w:sz="12" w:space="0" w:color="auto"/>
              <w:left w:val="nil"/>
              <w:right w:val="nil"/>
            </w:tcBorders>
            <w:shd w:val="clear" w:color="auto" w:fill="auto"/>
          </w:tcPr>
          <w:p w:rsidR="00981881" w:rsidRPr="001F0848" w:rsidRDefault="00981881" w:rsidP="00981881">
            <w:pPr>
              <w:keepNext/>
              <w:jc w:val="right"/>
            </w:pPr>
            <w:r w:rsidRPr="001F0848">
              <w:t>NA</w:t>
            </w:r>
          </w:p>
        </w:tc>
      </w:tr>
      <w:tr w:rsidR="00981881" w:rsidRPr="001F0848" w:rsidTr="005F77BF">
        <w:trPr>
          <w:jc w:val="center"/>
        </w:trPr>
        <w:tc>
          <w:tcPr>
            <w:tcW w:w="2970" w:type="dxa"/>
            <w:tcBorders>
              <w:left w:val="nil"/>
              <w:right w:val="single" w:sz="4" w:space="0" w:color="auto"/>
            </w:tcBorders>
            <w:shd w:val="clear" w:color="auto" w:fill="auto"/>
          </w:tcPr>
          <w:p w:rsidR="00981881" w:rsidRPr="001F0848" w:rsidRDefault="00981881" w:rsidP="00981881">
            <w:pPr>
              <w:keepNext/>
            </w:pPr>
            <w:r w:rsidRPr="001F0848">
              <w:tab/>
              <w:t>Admin</w:t>
            </w:r>
          </w:p>
        </w:tc>
        <w:tc>
          <w:tcPr>
            <w:tcW w:w="1321" w:type="dxa"/>
            <w:tcBorders>
              <w:left w:val="single" w:sz="4" w:space="0" w:color="auto"/>
              <w:right w:val="nil"/>
            </w:tcBorders>
            <w:shd w:val="clear" w:color="auto" w:fill="auto"/>
          </w:tcPr>
          <w:p w:rsidR="00981881" w:rsidRPr="001F0848" w:rsidRDefault="00981881" w:rsidP="0003093E">
            <w:pPr>
              <w:keepNext/>
              <w:jc w:val="right"/>
            </w:pPr>
            <w:r w:rsidRPr="001F0848">
              <w:t>$</w:t>
            </w:r>
            <w:r>
              <w:t xml:space="preserve">   </w:t>
            </w:r>
            <w:r w:rsidRPr="001F0848">
              <w:t xml:space="preserve">   </w:t>
            </w:r>
            <w:r w:rsidR="00F17617">
              <w:t>2</w:t>
            </w:r>
            <w:r w:rsidR="0003093E">
              <w:t>26</w:t>
            </w:r>
          </w:p>
        </w:tc>
        <w:tc>
          <w:tcPr>
            <w:tcW w:w="1321" w:type="dxa"/>
            <w:tcBorders>
              <w:left w:val="nil"/>
              <w:right w:val="nil"/>
            </w:tcBorders>
            <w:shd w:val="clear" w:color="auto" w:fill="auto"/>
          </w:tcPr>
          <w:p w:rsidR="00981881" w:rsidRPr="001F0848" w:rsidRDefault="00981881" w:rsidP="0003093E">
            <w:pPr>
              <w:keepNext/>
              <w:jc w:val="right"/>
            </w:pPr>
            <w:r w:rsidRPr="001F0848">
              <w:t>$</w:t>
            </w:r>
            <w:r>
              <w:t xml:space="preserve">   </w:t>
            </w:r>
            <w:r w:rsidRPr="001F0848">
              <w:t xml:space="preserve">   </w:t>
            </w:r>
            <w:r w:rsidR="00F17617">
              <w:t>2</w:t>
            </w:r>
            <w:r w:rsidR="0003093E">
              <w:t>3</w:t>
            </w:r>
            <w:r w:rsidR="00F17617">
              <w:t>2</w:t>
            </w:r>
          </w:p>
        </w:tc>
        <w:tc>
          <w:tcPr>
            <w:tcW w:w="1321" w:type="dxa"/>
            <w:tcBorders>
              <w:left w:val="nil"/>
              <w:right w:val="nil"/>
            </w:tcBorders>
            <w:shd w:val="clear" w:color="auto" w:fill="auto"/>
          </w:tcPr>
          <w:p w:rsidR="00981881" w:rsidRPr="001F0848" w:rsidRDefault="00981881" w:rsidP="0003093E">
            <w:pPr>
              <w:keepNext/>
              <w:jc w:val="right"/>
            </w:pPr>
            <w:r w:rsidRPr="001F0848">
              <w:t>$</w:t>
            </w:r>
            <w:r>
              <w:t xml:space="preserve">   </w:t>
            </w:r>
            <w:r w:rsidRPr="001F0848">
              <w:t xml:space="preserve">   2</w:t>
            </w:r>
            <w:r w:rsidR="0003093E">
              <w:t>29</w:t>
            </w:r>
          </w:p>
        </w:tc>
        <w:tc>
          <w:tcPr>
            <w:tcW w:w="1321" w:type="dxa"/>
            <w:tcBorders>
              <w:left w:val="nil"/>
              <w:right w:val="nil"/>
            </w:tcBorders>
            <w:shd w:val="clear" w:color="auto" w:fill="auto"/>
          </w:tcPr>
          <w:p w:rsidR="00981881" w:rsidRPr="001F0848" w:rsidRDefault="00981881" w:rsidP="00981881">
            <w:pPr>
              <w:keepNext/>
              <w:jc w:val="right"/>
            </w:pPr>
            <w:r w:rsidRPr="001F0848">
              <w:t>NA</w:t>
            </w:r>
          </w:p>
        </w:tc>
        <w:tc>
          <w:tcPr>
            <w:tcW w:w="1322" w:type="dxa"/>
            <w:tcBorders>
              <w:left w:val="nil"/>
              <w:right w:val="nil"/>
            </w:tcBorders>
            <w:shd w:val="clear" w:color="auto" w:fill="auto"/>
          </w:tcPr>
          <w:p w:rsidR="00981881" w:rsidRPr="001F0848" w:rsidRDefault="00981881" w:rsidP="00981881">
            <w:pPr>
              <w:keepNext/>
              <w:jc w:val="right"/>
            </w:pPr>
            <w:r w:rsidRPr="001F0848">
              <w:t>NA</w:t>
            </w:r>
          </w:p>
        </w:tc>
      </w:tr>
      <w:tr w:rsidR="00981881" w:rsidRPr="001F0848" w:rsidTr="005F77BF">
        <w:trPr>
          <w:jc w:val="center"/>
        </w:trPr>
        <w:tc>
          <w:tcPr>
            <w:tcW w:w="2970" w:type="dxa"/>
            <w:tcBorders>
              <w:left w:val="nil"/>
              <w:bottom w:val="single" w:sz="8" w:space="0" w:color="auto"/>
              <w:right w:val="single" w:sz="4" w:space="0" w:color="auto"/>
            </w:tcBorders>
            <w:shd w:val="clear" w:color="auto" w:fill="auto"/>
          </w:tcPr>
          <w:p w:rsidR="00981881" w:rsidRPr="00036D86" w:rsidRDefault="00981881" w:rsidP="00981881">
            <w:pPr>
              <w:keepNext/>
              <w:rPr>
                <w:b/>
              </w:rPr>
            </w:pPr>
            <w:r w:rsidRPr="00036D86">
              <w:rPr>
                <w:b/>
              </w:rPr>
              <w:t>Total</w:t>
            </w:r>
          </w:p>
        </w:tc>
        <w:tc>
          <w:tcPr>
            <w:tcW w:w="1321" w:type="dxa"/>
            <w:tcBorders>
              <w:left w:val="single" w:sz="4" w:space="0" w:color="auto"/>
              <w:bottom w:val="single" w:sz="8" w:space="0" w:color="auto"/>
              <w:right w:val="nil"/>
            </w:tcBorders>
            <w:shd w:val="clear" w:color="auto" w:fill="auto"/>
          </w:tcPr>
          <w:p w:rsidR="00981881" w:rsidRPr="001F0848" w:rsidRDefault="00981881" w:rsidP="0003093E">
            <w:pPr>
              <w:keepNext/>
              <w:jc w:val="right"/>
            </w:pPr>
            <w:r w:rsidRPr="001F0848">
              <w:t>$</w:t>
            </w:r>
            <w:r>
              <w:t xml:space="preserve">   </w:t>
            </w:r>
            <w:r w:rsidR="00AF7993">
              <w:t>4,9</w:t>
            </w:r>
            <w:r w:rsidR="0003093E">
              <w:t>04</w:t>
            </w:r>
          </w:p>
        </w:tc>
        <w:tc>
          <w:tcPr>
            <w:tcW w:w="1321" w:type="dxa"/>
            <w:tcBorders>
              <w:left w:val="nil"/>
              <w:bottom w:val="single" w:sz="8" w:space="0" w:color="auto"/>
              <w:right w:val="nil"/>
            </w:tcBorders>
            <w:shd w:val="clear" w:color="auto" w:fill="auto"/>
          </w:tcPr>
          <w:p w:rsidR="00981881" w:rsidRPr="001F0848" w:rsidRDefault="00981881" w:rsidP="0003093E">
            <w:pPr>
              <w:keepNext/>
              <w:jc w:val="right"/>
            </w:pPr>
            <w:r w:rsidRPr="001F0848">
              <w:t>$</w:t>
            </w:r>
            <w:r>
              <w:t xml:space="preserve">   </w:t>
            </w:r>
            <w:r w:rsidR="00AF7993">
              <w:t>5,2</w:t>
            </w:r>
            <w:r w:rsidR="0003093E">
              <w:t>4</w:t>
            </w:r>
            <w:r w:rsidR="00AF7993">
              <w:t>1</w:t>
            </w:r>
          </w:p>
        </w:tc>
        <w:tc>
          <w:tcPr>
            <w:tcW w:w="1321" w:type="dxa"/>
            <w:tcBorders>
              <w:left w:val="nil"/>
              <w:bottom w:val="single" w:sz="8" w:space="0" w:color="auto"/>
              <w:right w:val="nil"/>
            </w:tcBorders>
            <w:shd w:val="clear" w:color="auto" w:fill="auto"/>
          </w:tcPr>
          <w:p w:rsidR="00981881" w:rsidRPr="001F0848" w:rsidRDefault="00981881" w:rsidP="0003093E">
            <w:pPr>
              <w:keepNext/>
              <w:jc w:val="right"/>
            </w:pPr>
            <w:r w:rsidRPr="001F0848">
              <w:t>$</w:t>
            </w:r>
            <w:r>
              <w:t xml:space="preserve">   </w:t>
            </w:r>
            <w:r w:rsidRPr="001F0848">
              <w:t>5,</w:t>
            </w:r>
            <w:r w:rsidR="00AF7993">
              <w:t>08</w:t>
            </w:r>
            <w:r w:rsidR="0003093E">
              <w:t>2</w:t>
            </w:r>
          </w:p>
        </w:tc>
        <w:tc>
          <w:tcPr>
            <w:tcW w:w="1321" w:type="dxa"/>
            <w:tcBorders>
              <w:left w:val="nil"/>
              <w:bottom w:val="single" w:sz="8" w:space="0" w:color="auto"/>
              <w:right w:val="nil"/>
            </w:tcBorders>
            <w:shd w:val="clear" w:color="auto" w:fill="auto"/>
          </w:tcPr>
          <w:p w:rsidR="00981881" w:rsidRPr="001F0848" w:rsidRDefault="0003093E" w:rsidP="00981881">
            <w:pPr>
              <w:keepNext/>
              <w:jc w:val="right"/>
            </w:pPr>
            <w:r>
              <w:t>1.0492</w:t>
            </w:r>
          </w:p>
        </w:tc>
        <w:tc>
          <w:tcPr>
            <w:tcW w:w="1322" w:type="dxa"/>
            <w:tcBorders>
              <w:left w:val="nil"/>
              <w:bottom w:val="single" w:sz="8" w:space="0" w:color="auto"/>
              <w:right w:val="nil"/>
            </w:tcBorders>
            <w:shd w:val="clear" w:color="auto" w:fill="auto"/>
          </w:tcPr>
          <w:p w:rsidR="00981881" w:rsidRPr="001F0848" w:rsidRDefault="00981881" w:rsidP="0003093E">
            <w:pPr>
              <w:keepNext/>
              <w:jc w:val="right"/>
              <w:rPr>
                <w:b/>
              </w:rPr>
            </w:pPr>
            <w:r w:rsidRPr="001F0848">
              <w:rPr>
                <w:b/>
              </w:rPr>
              <w:t>$</w:t>
            </w:r>
            <w:r>
              <w:rPr>
                <w:b/>
              </w:rPr>
              <w:t xml:space="preserve">  </w:t>
            </w:r>
            <w:r w:rsidR="002D1162">
              <w:rPr>
                <w:b/>
              </w:rPr>
              <w:t>44</w:t>
            </w:r>
            <w:r w:rsidR="0003093E">
              <w:rPr>
                <w:b/>
              </w:rPr>
              <w:t>4</w:t>
            </w:r>
            <w:r w:rsidR="002D1162">
              <w:rPr>
                <w:b/>
              </w:rPr>
              <w:t>.37</w:t>
            </w:r>
          </w:p>
        </w:tc>
      </w:tr>
      <w:tr w:rsidR="00981881" w:rsidRPr="001F0848" w:rsidTr="005F77BF">
        <w:trPr>
          <w:jc w:val="center"/>
        </w:trPr>
        <w:tc>
          <w:tcPr>
            <w:tcW w:w="2970" w:type="dxa"/>
            <w:tcBorders>
              <w:top w:val="single" w:sz="12" w:space="0" w:color="auto"/>
              <w:left w:val="nil"/>
              <w:bottom w:val="single" w:sz="12" w:space="0" w:color="auto"/>
              <w:right w:val="single" w:sz="4" w:space="0" w:color="auto"/>
            </w:tcBorders>
            <w:shd w:val="clear" w:color="auto" w:fill="auto"/>
          </w:tcPr>
          <w:p w:rsidR="00981881" w:rsidRPr="001F0848" w:rsidRDefault="00981881" w:rsidP="00981881">
            <w:pPr>
              <w:keepNext/>
              <w:rPr>
                <w:b/>
              </w:rPr>
            </w:pPr>
            <w:r w:rsidRPr="001F0848">
              <w:rPr>
                <w:b/>
              </w:rPr>
              <w:t>TR</w:t>
            </w:r>
            <w:r>
              <w:rPr>
                <w:b/>
              </w:rPr>
              <w:t>R</w:t>
            </w:r>
            <w:r w:rsidRPr="001F0848">
              <w:rPr>
                <w:b/>
              </w:rPr>
              <w:t xml:space="preserve"> Member and Family</w:t>
            </w:r>
          </w:p>
        </w:tc>
        <w:tc>
          <w:tcPr>
            <w:tcW w:w="1321" w:type="dxa"/>
            <w:tcBorders>
              <w:top w:val="single" w:sz="12" w:space="0" w:color="auto"/>
              <w:left w:val="single" w:sz="4" w:space="0" w:color="auto"/>
              <w:bottom w:val="single" w:sz="12" w:space="0" w:color="auto"/>
              <w:right w:val="nil"/>
            </w:tcBorders>
            <w:shd w:val="clear" w:color="auto" w:fill="auto"/>
          </w:tcPr>
          <w:p w:rsidR="00981881" w:rsidRPr="001F0848" w:rsidRDefault="00981881" w:rsidP="00981881">
            <w:pPr>
              <w:keepNext/>
              <w:jc w:val="right"/>
            </w:pPr>
          </w:p>
        </w:tc>
        <w:tc>
          <w:tcPr>
            <w:tcW w:w="1321"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c>
          <w:tcPr>
            <w:tcW w:w="1321"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c>
          <w:tcPr>
            <w:tcW w:w="1321"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c>
          <w:tcPr>
            <w:tcW w:w="1322" w:type="dxa"/>
            <w:tcBorders>
              <w:top w:val="single" w:sz="12" w:space="0" w:color="auto"/>
              <w:left w:val="nil"/>
              <w:bottom w:val="single" w:sz="12" w:space="0" w:color="auto"/>
              <w:right w:val="nil"/>
            </w:tcBorders>
            <w:shd w:val="clear" w:color="auto" w:fill="auto"/>
          </w:tcPr>
          <w:p w:rsidR="00981881" w:rsidRPr="001F0848" w:rsidRDefault="00981881" w:rsidP="00981881">
            <w:pPr>
              <w:keepNext/>
              <w:jc w:val="right"/>
            </w:pPr>
          </w:p>
        </w:tc>
      </w:tr>
      <w:tr w:rsidR="00981881" w:rsidRPr="001F0848" w:rsidTr="005F77BF">
        <w:trPr>
          <w:jc w:val="center"/>
        </w:trPr>
        <w:tc>
          <w:tcPr>
            <w:tcW w:w="2970" w:type="dxa"/>
            <w:tcBorders>
              <w:top w:val="single" w:sz="12" w:space="0" w:color="auto"/>
              <w:left w:val="nil"/>
              <w:right w:val="single" w:sz="4" w:space="0" w:color="auto"/>
            </w:tcBorders>
            <w:shd w:val="clear" w:color="auto" w:fill="auto"/>
          </w:tcPr>
          <w:p w:rsidR="00981881" w:rsidRPr="001F0848" w:rsidRDefault="00981881" w:rsidP="00981881">
            <w:pPr>
              <w:keepNext/>
            </w:pPr>
            <w:r w:rsidRPr="001F0848">
              <w:tab/>
              <w:t>Healthcare</w:t>
            </w:r>
          </w:p>
        </w:tc>
        <w:tc>
          <w:tcPr>
            <w:tcW w:w="1321" w:type="dxa"/>
            <w:tcBorders>
              <w:top w:val="single" w:sz="12" w:space="0" w:color="auto"/>
              <w:left w:val="single" w:sz="4" w:space="0" w:color="auto"/>
              <w:right w:val="nil"/>
            </w:tcBorders>
            <w:shd w:val="clear" w:color="auto" w:fill="auto"/>
          </w:tcPr>
          <w:p w:rsidR="00981881" w:rsidRPr="001F0848" w:rsidRDefault="00981881" w:rsidP="00F17617">
            <w:pPr>
              <w:keepNext/>
              <w:jc w:val="right"/>
            </w:pPr>
            <w:r w:rsidRPr="001F0848">
              <w:t>$</w:t>
            </w:r>
            <w:r>
              <w:t xml:space="preserve"> </w:t>
            </w:r>
            <w:r w:rsidR="00F17617">
              <w:t>11,123</w:t>
            </w:r>
          </w:p>
        </w:tc>
        <w:tc>
          <w:tcPr>
            <w:tcW w:w="1321" w:type="dxa"/>
            <w:tcBorders>
              <w:top w:val="single" w:sz="12" w:space="0" w:color="auto"/>
              <w:left w:val="nil"/>
              <w:right w:val="nil"/>
            </w:tcBorders>
            <w:shd w:val="clear" w:color="auto" w:fill="auto"/>
          </w:tcPr>
          <w:p w:rsidR="00981881" w:rsidRPr="001F0848" w:rsidRDefault="00981881" w:rsidP="00F17617">
            <w:pPr>
              <w:keepNext/>
              <w:jc w:val="right"/>
            </w:pPr>
            <w:r w:rsidRPr="001F0848">
              <w:t>$</w:t>
            </w:r>
            <w:r>
              <w:t xml:space="preserve"> </w:t>
            </w:r>
            <w:r w:rsidR="00F17617">
              <w:t>12,003</w:t>
            </w:r>
          </w:p>
        </w:tc>
        <w:tc>
          <w:tcPr>
            <w:tcW w:w="1321" w:type="dxa"/>
            <w:tcBorders>
              <w:top w:val="single" w:sz="12" w:space="0" w:color="auto"/>
              <w:left w:val="nil"/>
              <w:right w:val="nil"/>
            </w:tcBorders>
            <w:shd w:val="clear" w:color="auto" w:fill="auto"/>
          </w:tcPr>
          <w:p w:rsidR="00981881" w:rsidRPr="001F0848" w:rsidRDefault="00981881" w:rsidP="0003093E">
            <w:pPr>
              <w:keepNext/>
              <w:jc w:val="right"/>
            </w:pPr>
            <w:r w:rsidRPr="001F0848">
              <w:t>$</w:t>
            </w:r>
            <w:r>
              <w:t xml:space="preserve"> </w:t>
            </w:r>
            <w:r w:rsidRPr="001F0848">
              <w:t>11,</w:t>
            </w:r>
            <w:r w:rsidR="00AF7993">
              <w:t>5</w:t>
            </w:r>
            <w:r w:rsidR="0003093E">
              <w:t>98</w:t>
            </w:r>
          </w:p>
        </w:tc>
        <w:tc>
          <w:tcPr>
            <w:tcW w:w="1321" w:type="dxa"/>
            <w:tcBorders>
              <w:top w:val="single" w:sz="12" w:space="0" w:color="auto"/>
              <w:left w:val="nil"/>
              <w:right w:val="nil"/>
            </w:tcBorders>
            <w:shd w:val="clear" w:color="auto" w:fill="auto"/>
          </w:tcPr>
          <w:p w:rsidR="00981881" w:rsidRPr="001F0848" w:rsidRDefault="00981881" w:rsidP="00981881">
            <w:pPr>
              <w:keepNext/>
              <w:jc w:val="right"/>
            </w:pPr>
            <w:r w:rsidRPr="001F0848">
              <w:t>NA</w:t>
            </w:r>
          </w:p>
        </w:tc>
        <w:tc>
          <w:tcPr>
            <w:tcW w:w="1322" w:type="dxa"/>
            <w:tcBorders>
              <w:top w:val="single" w:sz="12" w:space="0" w:color="auto"/>
              <w:left w:val="nil"/>
              <w:right w:val="nil"/>
            </w:tcBorders>
            <w:shd w:val="clear" w:color="auto" w:fill="auto"/>
          </w:tcPr>
          <w:p w:rsidR="00981881" w:rsidRPr="001F0848" w:rsidRDefault="00981881" w:rsidP="00981881">
            <w:pPr>
              <w:keepNext/>
              <w:jc w:val="right"/>
            </w:pPr>
            <w:r w:rsidRPr="001F0848">
              <w:t>NA</w:t>
            </w:r>
          </w:p>
        </w:tc>
      </w:tr>
      <w:tr w:rsidR="00981881" w:rsidRPr="001F0848" w:rsidTr="005F77BF">
        <w:trPr>
          <w:jc w:val="center"/>
        </w:trPr>
        <w:tc>
          <w:tcPr>
            <w:tcW w:w="2970" w:type="dxa"/>
            <w:tcBorders>
              <w:left w:val="nil"/>
              <w:bottom w:val="single" w:sz="4" w:space="0" w:color="auto"/>
              <w:right w:val="single" w:sz="4" w:space="0" w:color="auto"/>
            </w:tcBorders>
            <w:shd w:val="clear" w:color="auto" w:fill="auto"/>
          </w:tcPr>
          <w:p w:rsidR="00981881" w:rsidRPr="001F0848" w:rsidRDefault="00981881" w:rsidP="00981881">
            <w:pPr>
              <w:keepNext/>
            </w:pPr>
            <w:r w:rsidRPr="001F0848">
              <w:tab/>
              <w:t>Admin</w:t>
            </w:r>
          </w:p>
        </w:tc>
        <w:tc>
          <w:tcPr>
            <w:tcW w:w="1321" w:type="dxa"/>
            <w:tcBorders>
              <w:left w:val="single" w:sz="4" w:space="0" w:color="auto"/>
              <w:bottom w:val="single" w:sz="4" w:space="0" w:color="auto"/>
              <w:right w:val="nil"/>
            </w:tcBorders>
            <w:shd w:val="clear" w:color="auto" w:fill="auto"/>
          </w:tcPr>
          <w:p w:rsidR="00981881" w:rsidRPr="001F0848" w:rsidRDefault="00981881" w:rsidP="0003093E">
            <w:pPr>
              <w:keepNext/>
              <w:jc w:val="right"/>
            </w:pPr>
            <w:r w:rsidRPr="001F0848">
              <w:t xml:space="preserve">$ </w:t>
            </w:r>
            <w:r>
              <w:t xml:space="preserve"> </w:t>
            </w:r>
            <w:r w:rsidRPr="001F0848">
              <w:t xml:space="preserve">    </w:t>
            </w:r>
            <w:r w:rsidR="0003093E">
              <w:t>590</w:t>
            </w:r>
          </w:p>
        </w:tc>
        <w:tc>
          <w:tcPr>
            <w:tcW w:w="1321" w:type="dxa"/>
            <w:tcBorders>
              <w:left w:val="nil"/>
              <w:bottom w:val="single" w:sz="4" w:space="0" w:color="auto"/>
              <w:right w:val="nil"/>
            </w:tcBorders>
            <w:shd w:val="clear" w:color="auto" w:fill="auto"/>
          </w:tcPr>
          <w:p w:rsidR="00981881" w:rsidRPr="001F0848" w:rsidRDefault="00981881" w:rsidP="0003093E">
            <w:pPr>
              <w:keepNext/>
              <w:jc w:val="right"/>
            </w:pPr>
            <w:r w:rsidRPr="001F0848">
              <w:t>$</w:t>
            </w:r>
            <w:r>
              <w:t xml:space="preserve"> </w:t>
            </w:r>
            <w:r w:rsidRPr="001F0848">
              <w:t xml:space="preserve">     </w:t>
            </w:r>
            <w:r w:rsidR="00F17617">
              <w:t>6</w:t>
            </w:r>
            <w:r w:rsidR="0003093E">
              <w:t>04</w:t>
            </w:r>
          </w:p>
        </w:tc>
        <w:tc>
          <w:tcPr>
            <w:tcW w:w="1321" w:type="dxa"/>
            <w:tcBorders>
              <w:left w:val="nil"/>
              <w:bottom w:val="single" w:sz="4" w:space="0" w:color="auto"/>
              <w:right w:val="nil"/>
            </w:tcBorders>
            <w:shd w:val="clear" w:color="auto" w:fill="auto"/>
          </w:tcPr>
          <w:p w:rsidR="00981881" w:rsidRPr="001F0848" w:rsidRDefault="00981881" w:rsidP="0003093E">
            <w:pPr>
              <w:keepNext/>
              <w:jc w:val="right"/>
            </w:pPr>
            <w:r w:rsidRPr="001F0848">
              <w:t>$</w:t>
            </w:r>
            <w:r>
              <w:t xml:space="preserve"> </w:t>
            </w:r>
            <w:r w:rsidRPr="001F0848">
              <w:t xml:space="preserve">     </w:t>
            </w:r>
            <w:r w:rsidR="0003093E">
              <w:t>598</w:t>
            </w:r>
          </w:p>
        </w:tc>
        <w:tc>
          <w:tcPr>
            <w:tcW w:w="1321" w:type="dxa"/>
            <w:tcBorders>
              <w:left w:val="nil"/>
              <w:bottom w:val="single" w:sz="4" w:space="0" w:color="auto"/>
              <w:right w:val="nil"/>
            </w:tcBorders>
            <w:shd w:val="clear" w:color="auto" w:fill="auto"/>
          </w:tcPr>
          <w:p w:rsidR="00981881" w:rsidRPr="001F0848" w:rsidRDefault="00981881" w:rsidP="00981881">
            <w:pPr>
              <w:keepNext/>
              <w:jc w:val="right"/>
            </w:pPr>
            <w:r w:rsidRPr="001F0848">
              <w:t>NA</w:t>
            </w:r>
          </w:p>
        </w:tc>
        <w:tc>
          <w:tcPr>
            <w:tcW w:w="1322" w:type="dxa"/>
            <w:tcBorders>
              <w:left w:val="nil"/>
              <w:bottom w:val="single" w:sz="4" w:space="0" w:color="auto"/>
              <w:right w:val="nil"/>
            </w:tcBorders>
            <w:shd w:val="clear" w:color="auto" w:fill="auto"/>
          </w:tcPr>
          <w:p w:rsidR="00981881" w:rsidRPr="001F0848" w:rsidRDefault="00981881" w:rsidP="00981881">
            <w:pPr>
              <w:keepNext/>
              <w:jc w:val="right"/>
            </w:pPr>
            <w:r w:rsidRPr="001F0848">
              <w:t>NA</w:t>
            </w:r>
          </w:p>
        </w:tc>
      </w:tr>
      <w:tr w:rsidR="00981881" w:rsidRPr="001F0848" w:rsidTr="005F77BF">
        <w:trPr>
          <w:jc w:val="center"/>
        </w:trPr>
        <w:tc>
          <w:tcPr>
            <w:tcW w:w="2970" w:type="dxa"/>
            <w:tcBorders>
              <w:left w:val="nil"/>
              <w:right w:val="single" w:sz="4" w:space="0" w:color="auto"/>
            </w:tcBorders>
            <w:shd w:val="clear" w:color="auto" w:fill="auto"/>
          </w:tcPr>
          <w:p w:rsidR="00981881" w:rsidRPr="00036D86" w:rsidRDefault="00981881" w:rsidP="00981881">
            <w:pPr>
              <w:keepNext/>
              <w:rPr>
                <w:b/>
              </w:rPr>
            </w:pPr>
            <w:r w:rsidRPr="00036D86">
              <w:rPr>
                <w:b/>
              </w:rPr>
              <w:t>Total</w:t>
            </w:r>
          </w:p>
        </w:tc>
        <w:tc>
          <w:tcPr>
            <w:tcW w:w="1321" w:type="dxa"/>
            <w:tcBorders>
              <w:left w:val="single" w:sz="4" w:space="0" w:color="auto"/>
              <w:right w:val="nil"/>
            </w:tcBorders>
            <w:shd w:val="clear" w:color="auto" w:fill="auto"/>
          </w:tcPr>
          <w:p w:rsidR="00981881" w:rsidRPr="001F0848" w:rsidRDefault="00981881" w:rsidP="0003093E">
            <w:pPr>
              <w:keepNext/>
              <w:jc w:val="right"/>
            </w:pPr>
            <w:r w:rsidRPr="001F0848">
              <w:t>$</w:t>
            </w:r>
            <w:r>
              <w:t xml:space="preserve"> </w:t>
            </w:r>
            <w:r w:rsidR="00AF7993">
              <w:t>11,7</w:t>
            </w:r>
            <w:r w:rsidR="0003093E">
              <w:t>13</w:t>
            </w:r>
          </w:p>
        </w:tc>
        <w:tc>
          <w:tcPr>
            <w:tcW w:w="1321" w:type="dxa"/>
            <w:tcBorders>
              <w:left w:val="nil"/>
              <w:right w:val="nil"/>
            </w:tcBorders>
            <w:shd w:val="clear" w:color="auto" w:fill="auto"/>
          </w:tcPr>
          <w:p w:rsidR="00981881" w:rsidRPr="001F0848" w:rsidRDefault="00981881" w:rsidP="0003093E">
            <w:pPr>
              <w:keepNext/>
              <w:jc w:val="right"/>
            </w:pPr>
            <w:r w:rsidRPr="001F0848">
              <w:t>$</w:t>
            </w:r>
            <w:r>
              <w:t xml:space="preserve"> </w:t>
            </w:r>
            <w:r w:rsidR="00AF7993">
              <w:t>12,6</w:t>
            </w:r>
            <w:r w:rsidR="0003093E">
              <w:t>07</w:t>
            </w:r>
          </w:p>
        </w:tc>
        <w:tc>
          <w:tcPr>
            <w:tcW w:w="1321" w:type="dxa"/>
            <w:tcBorders>
              <w:left w:val="nil"/>
              <w:right w:val="nil"/>
            </w:tcBorders>
            <w:shd w:val="clear" w:color="auto" w:fill="auto"/>
          </w:tcPr>
          <w:p w:rsidR="00981881" w:rsidRPr="001F0848" w:rsidRDefault="00981881" w:rsidP="0003093E">
            <w:pPr>
              <w:keepNext/>
              <w:jc w:val="right"/>
            </w:pPr>
            <w:r w:rsidRPr="001F0848">
              <w:t>$</w:t>
            </w:r>
            <w:r>
              <w:t xml:space="preserve"> </w:t>
            </w:r>
            <w:r w:rsidRPr="001F0848">
              <w:t>12,</w:t>
            </w:r>
            <w:r w:rsidR="00AF7993">
              <w:t>19</w:t>
            </w:r>
            <w:r w:rsidR="0003093E">
              <w:t>6</w:t>
            </w:r>
          </w:p>
        </w:tc>
        <w:tc>
          <w:tcPr>
            <w:tcW w:w="1321" w:type="dxa"/>
            <w:tcBorders>
              <w:left w:val="nil"/>
              <w:right w:val="nil"/>
            </w:tcBorders>
            <w:shd w:val="clear" w:color="auto" w:fill="auto"/>
          </w:tcPr>
          <w:p w:rsidR="00981881" w:rsidRPr="001F0848" w:rsidRDefault="0003093E" w:rsidP="00981881">
            <w:pPr>
              <w:keepNext/>
              <w:jc w:val="right"/>
            </w:pPr>
            <w:r>
              <w:t>1.0492</w:t>
            </w:r>
          </w:p>
        </w:tc>
        <w:tc>
          <w:tcPr>
            <w:tcW w:w="1322" w:type="dxa"/>
            <w:tcBorders>
              <w:left w:val="nil"/>
              <w:right w:val="nil"/>
            </w:tcBorders>
            <w:shd w:val="clear" w:color="auto" w:fill="auto"/>
          </w:tcPr>
          <w:p w:rsidR="00981881" w:rsidRPr="001F0848" w:rsidRDefault="00981881" w:rsidP="002D1162">
            <w:pPr>
              <w:keepNext/>
              <w:jc w:val="right"/>
              <w:rPr>
                <w:b/>
              </w:rPr>
            </w:pPr>
            <w:r w:rsidRPr="001F0848">
              <w:rPr>
                <w:b/>
              </w:rPr>
              <w:t>$</w:t>
            </w:r>
            <w:r>
              <w:rPr>
                <w:b/>
              </w:rPr>
              <w:t xml:space="preserve"> </w:t>
            </w:r>
            <w:r w:rsidR="006D7E32">
              <w:rPr>
                <w:b/>
              </w:rPr>
              <w:t>1,</w:t>
            </w:r>
            <w:r w:rsidR="002D1162">
              <w:rPr>
                <w:b/>
              </w:rPr>
              <w:t>066.26</w:t>
            </w:r>
          </w:p>
        </w:tc>
      </w:tr>
    </w:tbl>
    <w:p w:rsidR="00E206FA" w:rsidRDefault="00E206FA" w:rsidP="00E206FA"/>
    <w:p w:rsidR="0088538C" w:rsidRDefault="00E206FA" w:rsidP="00E206FA">
      <w:pPr>
        <w:tabs>
          <w:tab w:val="left" w:pos="3384"/>
        </w:tabs>
      </w:pPr>
      <w:r>
        <w:tab/>
      </w: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080C9B" w:rsidRDefault="00080C9B" w:rsidP="00E206FA">
      <w:pPr>
        <w:jc w:val="center"/>
        <w:outlineLvl w:val="0"/>
        <w:rPr>
          <w:b/>
        </w:rPr>
      </w:pPr>
    </w:p>
    <w:p w:rsidR="00E206FA" w:rsidRPr="001F0848" w:rsidRDefault="00E206FA" w:rsidP="00E206FA">
      <w:pPr>
        <w:jc w:val="center"/>
        <w:outlineLvl w:val="0"/>
        <w:rPr>
          <w:b/>
        </w:rPr>
      </w:pPr>
      <w:r w:rsidRPr="001F0848">
        <w:rPr>
          <w:b/>
        </w:rPr>
        <w:lastRenderedPageBreak/>
        <w:t>Methodology</w:t>
      </w:r>
    </w:p>
    <w:p w:rsidR="00E206FA" w:rsidRPr="001F0848" w:rsidRDefault="00E206FA" w:rsidP="00E206FA">
      <w:pPr>
        <w:jc w:val="center"/>
        <w:outlineLvl w:val="0"/>
        <w:rPr>
          <w:b/>
        </w:rPr>
      </w:pPr>
      <w:r w:rsidRPr="001F0848">
        <w:rPr>
          <w:b/>
        </w:rPr>
        <w:t>Determination of 20</w:t>
      </w:r>
      <w:r w:rsidR="00E90C4A">
        <w:rPr>
          <w:b/>
        </w:rPr>
        <w:t>20</w:t>
      </w:r>
      <w:r w:rsidRPr="001F0848">
        <w:rPr>
          <w:b/>
        </w:rPr>
        <w:t xml:space="preserve"> Premium Rates for</w:t>
      </w:r>
    </w:p>
    <w:p w:rsidR="00E206FA" w:rsidRPr="001F0848" w:rsidRDefault="00E206FA" w:rsidP="00E206FA">
      <w:pPr>
        <w:jc w:val="center"/>
        <w:rPr>
          <w:b/>
        </w:rPr>
      </w:pPr>
      <w:r w:rsidRPr="001F0848">
        <w:rPr>
          <w:b/>
        </w:rPr>
        <w:t xml:space="preserve">TRICARE </w:t>
      </w:r>
      <w:r>
        <w:rPr>
          <w:b/>
        </w:rPr>
        <w:t>Young Adult</w:t>
      </w:r>
    </w:p>
    <w:p w:rsidR="00E206FA" w:rsidRPr="001F0848" w:rsidRDefault="00E206FA" w:rsidP="00E206FA">
      <w:pPr>
        <w:ind w:firstLine="720"/>
      </w:pPr>
    </w:p>
    <w:p w:rsidR="00E206FA" w:rsidRPr="001F0848" w:rsidRDefault="00E206FA" w:rsidP="00E206FA">
      <w:pPr>
        <w:spacing w:after="100" w:afterAutospacing="1"/>
      </w:pPr>
      <w:r w:rsidRPr="001F0848">
        <w:t>Calendar Year (CY) 20</w:t>
      </w:r>
      <w:r w:rsidR="00E90C4A">
        <w:t xml:space="preserve">20 </w:t>
      </w:r>
      <w:r w:rsidRPr="001F0848">
        <w:t xml:space="preserve">TRICARE </w:t>
      </w:r>
      <w:r>
        <w:t>Young Adult</w:t>
      </w:r>
      <w:r w:rsidRPr="001F0848">
        <w:t xml:space="preserve"> (</w:t>
      </w:r>
      <w:r>
        <w:t>TYA</w:t>
      </w:r>
      <w:r w:rsidRPr="001F0848">
        <w:t xml:space="preserve">) premium rates </w:t>
      </w:r>
      <w:r>
        <w:t>were</w:t>
      </w:r>
      <w:r w:rsidRPr="001F0848">
        <w:t xml:space="preserve"> </w:t>
      </w:r>
      <w:r w:rsidR="00292EE9">
        <w:t>tabulated</w:t>
      </w:r>
      <w:r w:rsidRPr="001F0848">
        <w:t xml:space="preserve"> from </w:t>
      </w:r>
      <w:r w:rsidR="00292EE9" w:rsidRPr="005D12A3">
        <w:t xml:space="preserve">the </w:t>
      </w:r>
      <w:r w:rsidR="003B3943">
        <w:t>Military Health System Data Repository</w:t>
      </w:r>
      <w:r w:rsidR="00292EE9" w:rsidRPr="005D12A3">
        <w:t xml:space="preserve"> for TYA enrollees </w:t>
      </w:r>
      <w:r w:rsidRPr="001F0848">
        <w:t>from</w:t>
      </w:r>
      <w:r w:rsidR="00292EE9">
        <w:t xml:space="preserve"> </w:t>
      </w:r>
      <w:r w:rsidR="003B3943">
        <w:t>CY 2017 and CY 2018 (base period)</w:t>
      </w:r>
      <w:r w:rsidRPr="001F0848">
        <w:t>.</w:t>
      </w:r>
      <w:r w:rsidR="00292EE9">
        <w:t xml:space="preserve"> </w:t>
      </w:r>
    </w:p>
    <w:p w:rsidR="00E206FA" w:rsidRPr="001F0848" w:rsidRDefault="00E206FA" w:rsidP="00E206FA">
      <w:pPr>
        <w:numPr>
          <w:ilvl w:val="0"/>
          <w:numId w:val="12"/>
        </w:numPr>
        <w:spacing w:after="240"/>
      </w:pPr>
      <w:r w:rsidRPr="001F0848">
        <w:t xml:space="preserve">Identified all </w:t>
      </w:r>
      <w:r>
        <w:t>TYA</w:t>
      </w:r>
      <w:r w:rsidRPr="001F0848">
        <w:t xml:space="preserve"> enrollees by </w:t>
      </w:r>
      <w:r>
        <w:t>plan type (</w:t>
      </w:r>
      <w:r w:rsidR="00292EE9">
        <w:t>TYA Select</w:t>
      </w:r>
      <w:r>
        <w:t xml:space="preserve"> or </w:t>
      </w:r>
      <w:r w:rsidR="00292EE9">
        <w:t>TYA Prime</w:t>
      </w:r>
      <w:r>
        <w:t>)</w:t>
      </w:r>
      <w:r w:rsidRPr="001F0848">
        <w:t xml:space="preserve"> </w:t>
      </w:r>
      <w:r w:rsidR="00292EE9">
        <w:t>over the most recently available 24-month period</w:t>
      </w:r>
      <w:r w:rsidR="003B3943">
        <w:t xml:space="preserve"> from January 1, 2017</w:t>
      </w:r>
      <w:r w:rsidR="00080C9B">
        <w:t>,</w:t>
      </w:r>
      <w:r w:rsidR="003B3943">
        <w:t xml:space="preserve"> to December 31, 2018</w:t>
      </w:r>
      <w:r w:rsidRPr="001F0848">
        <w:t>.</w:t>
      </w:r>
    </w:p>
    <w:p w:rsidR="00E206FA" w:rsidRPr="001F0848" w:rsidRDefault="00292EE9" w:rsidP="00E206FA">
      <w:pPr>
        <w:numPr>
          <w:ilvl w:val="0"/>
          <w:numId w:val="12"/>
        </w:numPr>
        <w:spacing w:after="240"/>
      </w:pPr>
      <w:r>
        <w:t xml:space="preserve">Applied a </w:t>
      </w:r>
      <w:r w:rsidR="003B3943">
        <w:t>15</w:t>
      </w:r>
      <w:r>
        <w:t xml:space="preserve"> percent reduction to the purchased care pharmacy </w:t>
      </w:r>
      <w:r w:rsidRPr="008F07A9">
        <w:t>proportion of total claims (</w:t>
      </w:r>
      <w:r w:rsidR="003B3943">
        <w:t>29</w:t>
      </w:r>
      <w:r w:rsidRPr="008F07A9">
        <w:t xml:space="preserve"> percent for </w:t>
      </w:r>
      <w:r w:rsidR="003B3943">
        <w:t>Select</w:t>
      </w:r>
      <w:r>
        <w:t xml:space="preserve"> </w:t>
      </w:r>
      <w:r w:rsidRPr="008F07A9">
        <w:t xml:space="preserve">and </w:t>
      </w:r>
      <w:r w:rsidR="003B3943">
        <w:t>18</w:t>
      </w:r>
      <w:r w:rsidRPr="008F07A9">
        <w:t xml:space="preserve"> percent for Prime) for a total reduction of </w:t>
      </w:r>
      <w:r>
        <w:t>4.</w:t>
      </w:r>
      <w:r w:rsidR="003B3943">
        <w:t>5</w:t>
      </w:r>
      <w:r w:rsidRPr="008F07A9">
        <w:t xml:space="preserve"> percent to the </w:t>
      </w:r>
      <w:r>
        <w:t>Select</w:t>
      </w:r>
      <w:r w:rsidRPr="008F07A9">
        <w:t xml:space="preserve"> costs and </w:t>
      </w:r>
      <w:r>
        <w:t>2.</w:t>
      </w:r>
      <w:r w:rsidR="003B3943">
        <w:t>8</w:t>
      </w:r>
      <w:r w:rsidRPr="008F07A9">
        <w:t xml:space="preserve"> percent to the Prime costs.</w:t>
      </w:r>
      <w:r w:rsidR="00E206FA" w:rsidRPr="001F0848">
        <w:t xml:space="preserve">  </w:t>
      </w:r>
    </w:p>
    <w:p w:rsidR="00E206FA" w:rsidRDefault="00292EE9" w:rsidP="00292EE9">
      <w:pPr>
        <w:numPr>
          <w:ilvl w:val="0"/>
          <w:numId w:val="12"/>
        </w:numPr>
        <w:spacing w:after="240"/>
      </w:pPr>
      <w:r>
        <w:t>I</w:t>
      </w:r>
      <w:r w:rsidRPr="00292EE9">
        <w:t>ncreased costs to account for D</w:t>
      </w:r>
      <w:r w:rsidR="00E057EB">
        <w:t>iagnosis-</w:t>
      </w:r>
      <w:r w:rsidRPr="00292EE9">
        <w:t>R</w:t>
      </w:r>
      <w:r w:rsidR="00E057EB">
        <w:t xml:space="preserve">elated </w:t>
      </w:r>
      <w:r w:rsidRPr="00292EE9">
        <w:t>G</w:t>
      </w:r>
      <w:r w:rsidR="00E057EB">
        <w:t>roup (DRG)</w:t>
      </w:r>
      <w:r w:rsidRPr="00292EE9">
        <w:t xml:space="preserve"> capital payments that are not a par</w:t>
      </w:r>
      <w:r>
        <w:t>t of the historical claims data (i</w:t>
      </w:r>
      <w:r w:rsidRPr="00292EE9">
        <w:t>n FY1</w:t>
      </w:r>
      <w:r w:rsidR="003B3943">
        <w:t>8</w:t>
      </w:r>
      <w:r w:rsidRPr="00292EE9">
        <w:t xml:space="preserve">, DRG capital costs accounted for an additional </w:t>
      </w:r>
      <w:r w:rsidR="003B3943">
        <w:t>12</w:t>
      </w:r>
      <w:r w:rsidRPr="00292EE9">
        <w:t xml:space="preserve"> percent of </w:t>
      </w:r>
      <w:r w:rsidR="003B3943">
        <w:t>inpatient facility and professional costs</w:t>
      </w:r>
      <w:r>
        <w:t xml:space="preserve">) and </w:t>
      </w:r>
      <w:r w:rsidRPr="00292EE9">
        <w:t>applied this additional load to the purchased care inpatient proportion of total claims (1</w:t>
      </w:r>
      <w:r w:rsidR="003B3943">
        <w:t>7</w:t>
      </w:r>
      <w:r w:rsidRPr="00292EE9">
        <w:t xml:space="preserve"> percent for Select and </w:t>
      </w:r>
      <w:r w:rsidR="003B3943">
        <w:t xml:space="preserve">15 percent for </w:t>
      </w:r>
      <w:r w:rsidRPr="00292EE9">
        <w:t>Prime) for a total increase of 2.</w:t>
      </w:r>
      <w:r w:rsidR="003B3943">
        <w:t>0</w:t>
      </w:r>
      <w:r w:rsidRPr="00292EE9">
        <w:t xml:space="preserve"> percent to the Select costs and </w:t>
      </w:r>
      <w:r w:rsidR="003B3943">
        <w:t>1.8</w:t>
      </w:r>
      <w:r w:rsidRPr="00292EE9">
        <w:t xml:space="preserve"> percent to the Prime costs.</w:t>
      </w:r>
      <w:r w:rsidR="00E206FA" w:rsidRPr="001F0848">
        <w:t xml:space="preserve">  </w:t>
      </w:r>
    </w:p>
    <w:p w:rsidR="003B3943" w:rsidRDefault="00B72D41" w:rsidP="00292EE9">
      <w:pPr>
        <w:numPr>
          <w:ilvl w:val="0"/>
          <w:numId w:val="12"/>
        </w:numPr>
        <w:spacing w:after="240"/>
      </w:pPr>
      <w:r>
        <w:t xml:space="preserve">Applied an </w:t>
      </w:r>
      <w:r w:rsidR="003B3943">
        <w:t>adjustment to Select costs to account for the change in timing of the outpatient deductible</w:t>
      </w:r>
      <w:r>
        <w:t xml:space="preserve"> from the FY to the CY in 2018, resulting in a reduction of 0.4 percent to Select costs only.</w:t>
      </w:r>
    </w:p>
    <w:p w:rsidR="00E206FA" w:rsidRPr="001F0848" w:rsidRDefault="00292EE9" w:rsidP="00292EE9">
      <w:pPr>
        <w:numPr>
          <w:ilvl w:val="0"/>
          <w:numId w:val="12"/>
        </w:numPr>
        <w:spacing w:after="240"/>
      </w:pPr>
      <w:r>
        <w:t>A</w:t>
      </w:r>
      <w:r w:rsidRPr="00292EE9">
        <w:t>pplied a trend rate to project costs from the midpoint of the historical period (</w:t>
      </w:r>
      <w:r w:rsidR="00B72D41">
        <w:t xml:space="preserve">January </w:t>
      </w:r>
      <w:r w:rsidRPr="00292EE9">
        <w:t>1, 201</w:t>
      </w:r>
      <w:r w:rsidR="00B72D41">
        <w:t>8</w:t>
      </w:r>
      <w:r w:rsidRPr="00292EE9">
        <w:t xml:space="preserve">) to the midpoint of the projection period (July 1, </w:t>
      </w:r>
      <w:r>
        <w:t>20</w:t>
      </w:r>
      <w:r w:rsidR="00B72D41">
        <w:t xml:space="preserve">20); </w:t>
      </w:r>
      <w:r w:rsidRPr="00292EE9">
        <w:t>2.</w:t>
      </w:r>
      <w:r w:rsidR="00B72D41">
        <w:t>37</w:t>
      </w:r>
      <w:r w:rsidRPr="00292EE9">
        <w:t xml:space="preserve"> percent per year for Select and </w:t>
      </w:r>
      <w:r w:rsidR="00B72D41">
        <w:t xml:space="preserve">2.27 percent fo </w:t>
      </w:r>
      <w:r w:rsidRPr="00292EE9">
        <w:t xml:space="preserve">Prime for </w:t>
      </w:r>
      <w:r w:rsidR="00B72D41">
        <w:t>36</w:t>
      </w:r>
      <w:r w:rsidRPr="00292EE9">
        <w:t xml:space="preserve"> months.  </w:t>
      </w:r>
      <w:r w:rsidR="00E206FA" w:rsidRPr="001F0848">
        <w:t xml:space="preserve"> </w:t>
      </w:r>
    </w:p>
    <w:p w:rsidR="00DE3DCC" w:rsidRPr="00DE3DCC" w:rsidRDefault="00E34B83" w:rsidP="00E34B83">
      <w:pPr>
        <w:numPr>
          <w:ilvl w:val="0"/>
          <w:numId w:val="12"/>
        </w:numPr>
        <w:spacing w:after="240"/>
      </w:pPr>
      <w:r w:rsidRPr="00E34B83">
        <w:rPr>
          <w:color w:val="000000"/>
        </w:rPr>
        <w:t>Applied program adjustment to account for the new cost sharing provisions that are part of the TRICARE Select benefit structure under Section 1075(d)(1) of Title 10, U.S. Code, as enacted by Section 701 of National Defense Authorization Act for Fiscal Year 2017; Public Law 114 328.</w:t>
      </w:r>
      <w:r w:rsidR="00DE3DCC">
        <w:t xml:space="preserve">  </w:t>
      </w:r>
      <w:r w:rsidR="00DE3DCC" w:rsidRPr="00DE3DCC">
        <w:t xml:space="preserve">For the </w:t>
      </w:r>
      <w:r w:rsidR="00B72D41">
        <w:t>Select</w:t>
      </w:r>
      <w:r w:rsidR="00DE3DCC" w:rsidRPr="00DE3DCC">
        <w:t xml:space="preserve"> benefit, </w:t>
      </w:r>
      <w:r w:rsidR="00DE3DCC">
        <w:t xml:space="preserve">an </w:t>
      </w:r>
      <w:r w:rsidR="00DE3DCC" w:rsidRPr="00DE3DCC">
        <w:t xml:space="preserve">estimated increase in costs of </w:t>
      </w:r>
      <w:r w:rsidR="00B72D41">
        <w:t>1.1</w:t>
      </w:r>
      <w:r w:rsidR="00DE3DCC" w:rsidRPr="00DE3DCC">
        <w:t xml:space="preserve"> percent </w:t>
      </w:r>
      <w:r w:rsidR="00B72D41">
        <w:t>and 1.8 reduction for Prime</w:t>
      </w:r>
      <w:r w:rsidR="00DE3DCC" w:rsidRPr="00DE3DCC">
        <w:t xml:space="preserve">.  </w:t>
      </w:r>
      <w:r w:rsidR="00646D13">
        <w:t>Made an adjustment</w:t>
      </w:r>
      <w:r w:rsidR="00DE3DCC" w:rsidRPr="00DE3DCC">
        <w:t xml:space="preserve"> </w:t>
      </w:r>
      <w:r w:rsidR="00646D13">
        <w:t>to reflect</w:t>
      </w:r>
      <w:r w:rsidR="00DE3DCC" w:rsidRPr="00DE3DCC">
        <w:t xml:space="preserve"> the pharmacy copay change that was implemented on February 1, 2018</w:t>
      </w:r>
      <w:r w:rsidR="00646D13">
        <w:t xml:space="preserve"> (a 0.3 to 0.4 percent reduction) and a second pharmacy copay change scheduled for February 1, 2020 (a similar level reduction)</w:t>
      </w:r>
      <w:r w:rsidR="00DE3DCC" w:rsidRPr="00DE3DCC">
        <w:t>.</w:t>
      </w:r>
    </w:p>
    <w:p w:rsidR="00E206FA" w:rsidRDefault="00E206FA" w:rsidP="00E206FA">
      <w:r w:rsidRPr="001F0848">
        <w:t xml:space="preserve">The resulting monthly </w:t>
      </w:r>
      <w:r>
        <w:t xml:space="preserve">TYA </w:t>
      </w:r>
      <w:r w:rsidRPr="001F0848">
        <w:t>premium rates for calendar year 20</w:t>
      </w:r>
      <w:r w:rsidR="00E90C4A">
        <w:t>20</w:t>
      </w:r>
      <w:r>
        <w:t xml:space="preserve"> </w:t>
      </w:r>
      <w:r w:rsidRPr="001F0848">
        <w:t>are</w:t>
      </w:r>
      <w:r>
        <w:t>:</w:t>
      </w:r>
    </w:p>
    <w:p w:rsidR="00E206FA" w:rsidRDefault="00E206FA" w:rsidP="00E206FA">
      <w:r>
        <w:tab/>
      </w:r>
      <w:r w:rsidRPr="001F0848">
        <w:rPr>
          <w:b/>
        </w:rPr>
        <w:t>$</w:t>
      </w:r>
      <w:r>
        <w:rPr>
          <w:b/>
        </w:rPr>
        <w:t xml:space="preserve">    </w:t>
      </w:r>
      <w:r w:rsidR="00DE3DCC">
        <w:rPr>
          <w:b/>
        </w:rPr>
        <w:t>2</w:t>
      </w:r>
      <w:r w:rsidR="00646D13">
        <w:rPr>
          <w:b/>
        </w:rPr>
        <w:t>28</w:t>
      </w:r>
      <w:r w:rsidR="00DE3DCC">
        <w:rPr>
          <w:b/>
        </w:rPr>
        <w:t>.00</w:t>
      </w:r>
      <w:r>
        <w:rPr>
          <w:b/>
        </w:rPr>
        <w:tab/>
      </w:r>
      <w:r>
        <w:t>TYA Select</w:t>
      </w:r>
      <w:r w:rsidRPr="001F0848">
        <w:t xml:space="preserve"> and </w:t>
      </w:r>
    </w:p>
    <w:p w:rsidR="00E206FA" w:rsidRPr="001F0848" w:rsidRDefault="00E206FA" w:rsidP="00E206FA">
      <w:r>
        <w:tab/>
      </w:r>
      <w:r w:rsidRPr="001F0848">
        <w:rPr>
          <w:b/>
        </w:rPr>
        <w:t>$</w:t>
      </w:r>
      <w:r>
        <w:rPr>
          <w:b/>
        </w:rPr>
        <w:t xml:space="preserve"> </w:t>
      </w:r>
      <w:r w:rsidR="00DE3DCC">
        <w:rPr>
          <w:b/>
        </w:rPr>
        <w:t xml:space="preserve">   3</w:t>
      </w:r>
      <w:r w:rsidR="00646D13">
        <w:rPr>
          <w:b/>
        </w:rPr>
        <w:t>76</w:t>
      </w:r>
      <w:r>
        <w:rPr>
          <w:b/>
        </w:rPr>
        <w:t>.</w:t>
      </w:r>
      <w:r w:rsidR="00DE3DCC">
        <w:rPr>
          <w:b/>
        </w:rPr>
        <w:t>0</w:t>
      </w:r>
      <w:r>
        <w:rPr>
          <w:b/>
        </w:rPr>
        <w:t>0</w:t>
      </w:r>
      <w:r>
        <w:rPr>
          <w:b/>
        </w:rPr>
        <w:tab/>
      </w:r>
      <w:r>
        <w:t>TYA Prime</w:t>
      </w:r>
      <w:r w:rsidRPr="001F0848">
        <w:t>.</w:t>
      </w:r>
    </w:p>
    <w:p w:rsidR="00E206FA" w:rsidRDefault="00E206FA" w:rsidP="00E206FA">
      <w:pPr>
        <w:tabs>
          <w:tab w:val="left" w:pos="3384"/>
        </w:tabs>
      </w:pPr>
    </w:p>
    <w:p w:rsidR="001F22BE" w:rsidRDefault="001F22BE" w:rsidP="00E206FA">
      <w:pPr>
        <w:tabs>
          <w:tab w:val="left" w:pos="3384"/>
        </w:tabs>
      </w:pPr>
    </w:p>
    <w:p w:rsidR="00080C9B" w:rsidRDefault="00080C9B" w:rsidP="001F22BE">
      <w:pPr>
        <w:jc w:val="center"/>
        <w:outlineLvl w:val="0"/>
        <w:rPr>
          <w:b/>
        </w:rPr>
      </w:pPr>
    </w:p>
    <w:p w:rsidR="00080C9B" w:rsidRDefault="00080C9B" w:rsidP="001F22BE">
      <w:pPr>
        <w:jc w:val="center"/>
        <w:outlineLvl w:val="0"/>
        <w:rPr>
          <w:b/>
        </w:rPr>
      </w:pPr>
    </w:p>
    <w:p w:rsidR="00080C9B" w:rsidRDefault="00080C9B" w:rsidP="001F22BE">
      <w:pPr>
        <w:jc w:val="center"/>
        <w:outlineLvl w:val="0"/>
        <w:rPr>
          <w:b/>
        </w:rPr>
      </w:pPr>
    </w:p>
    <w:p w:rsidR="00080C9B" w:rsidRDefault="00080C9B" w:rsidP="001F22BE">
      <w:pPr>
        <w:jc w:val="center"/>
        <w:outlineLvl w:val="0"/>
        <w:rPr>
          <w:b/>
        </w:rPr>
      </w:pPr>
    </w:p>
    <w:p w:rsidR="00080C9B" w:rsidRDefault="00080C9B" w:rsidP="001F22BE">
      <w:pPr>
        <w:jc w:val="center"/>
        <w:outlineLvl w:val="0"/>
        <w:rPr>
          <w:b/>
        </w:rPr>
      </w:pPr>
    </w:p>
    <w:p w:rsidR="00080C9B" w:rsidRDefault="00080C9B" w:rsidP="001F22BE">
      <w:pPr>
        <w:jc w:val="center"/>
        <w:outlineLvl w:val="0"/>
        <w:rPr>
          <w:b/>
        </w:rPr>
      </w:pPr>
    </w:p>
    <w:p w:rsidR="00080C9B" w:rsidRDefault="00080C9B" w:rsidP="001F22BE">
      <w:pPr>
        <w:jc w:val="center"/>
        <w:outlineLvl w:val="0"/>
        <w:rPr>
          <w:b/>
        </w:rPr>
      </w:pPr>
    </w:p>
    <w:p w:rsidR="00080C9B" w:rsidRDefault="00080C9B" w:rsidP="001F22BE">
      <w:pPr>
        <w:jc w:val="center"/>
        <w:outlineLvl w:val="0"/>
        <w:rPr>
          <w:b/>
        </w:rPr>
      </w:pPr>
    </w:p>
    <w:p w:rsidR="001F22BE" w:rsidRPr="001F0848" w:rsidRDefault="001F22BE" w:rsidP="001F22BE">
      <w:pPr>
        <w:jc w:val="center"/>
        <w:outlineLvl w:val="0"/>
        <w:rPr>
          <w:b/>
        </w:rPr>
      </w:pPr>
      <w:r w:rsidRPr="001F0848">
        <w:rPr>
          <w:b/>
        </w:rPr>
        <w:t>Methodology</w:t>
      </w:r>
    </w:p>
    <w:p w:rsidR="001F22BE" w:rsidRPr="001F0848" w:rsidRDefault="001F22BE" w:rsidP="001F22BE">
      <w:pPr>
        <w:jc w:val="center"/>
        <w:outlineLvl w:val="0"/>
        <w:rPr>
          <w:b/>
        </w:rPr>
      </w:pPr>
      <w:r w:rsidRPr="001F0848">
        <w:rPr>
          <w:b/>
        </w:rPr>
        <w:t>Determination of 20</w:t>
      </w:r>
      <w:r>
        <w:rPr>
          <w:b/>
        </w:rPr>
        <w:t>20</w:t>
      </w:r>
      <w:r w:rsidRPr="001F0848">
        <w:rPr>
          <w:b/>
        </w:rPr>
        <w:t xml:space="preserve"> Premium Rates for</w:t>
      </w:r>
    </w:p>
    <w:p w:rsidR="001F22BE" w:rsidRPr="001F0848" w:rsidRDefault="001F22BE" w:rsidP="001F22BE">
      <w:pPr>
        <w:jc w:val="center"/>
        <w:rPr>
          <w:b/>
        </w:rPr>
      </w:pPr>
      <w:r>
        <w:rPr>
          <w:b/>
        </w:rPr>
        <w:t>Continued Health Care Benefit Program</w:t>
      </w:r>
    </w:p>
    <w:p w:rsidR="001F22BE" w:rsidRPr="001F0848" w:rsidRDefault="001F22BE" w:rsidP="001F22BE">
      <w:pPr>
        <w:ind w:firstLine="720"/>
      </w:pPr>
    </w:p>
    <w:p w:rsidR="001F22BE" w:rsidRPr="001F0848" w:rsidRDefault="00E057EB" w:rsidP="001F22BE">
      <w:pPr>
        <w:spacing w:after="100" w:afterAutospacing="1"/>
      </w:pPr>
      <w:r>
        <w:t xml:space="preserve">Fiscal Year </w:t>
      </w:r>
      <w:r w:rsidR="001F22BE" w:rsidRPr="001F0848">
        <w:t>20</w:t>
      </w:r>
      <w:r w:rsidR="001F22BE">
        <w:t>20 Continued Health Care Benefit Program (CHCBP)</w:t>
      </w:r>
      <w:r w:rsidR="001F22BE" w:rsidRPr="001F0848">
        <w:t xml:space="preserve"> premium rates </w:t>
      </w:r>
      <w:r w:rsidR="001F22BE">
        <w:t>were</w:t>
      </w:r>
      <w:r w:rsidR="001F22BE" w:rsidRPr="001F0848">
        <w:t xml:space="preserve"> </w:t>
      </w:r>
      <w:r w:rsidR="001F22BE">
        <w:t>tabulated</w:t>
      </w:r>
      <w:r w:rsidR="001F22BE" w:rsidRPr="001F0848">
        <w:t xml:space="preserve"> from </w:t>
      </w:r>
      <w:r w:rsidR="00D066B6">
        <w:t xml:space="preserve">total premiums under </w:t>
      </w:r>
      <w:r w:rsidR="00D066B6" w:rsidRPr="00D066B6">
        <w:t>Government Employees Health Association (GEHA) Standard plan within the Federal Employee Health Benefit (FEHB) Program</w:t>
      </w:r>
      <w:r w:rsidR="001F22BE" w:rsidRPr="001F0848">
        <w:t>.</w:t>
      </w:r>
      <w:r w:rsidR="001F22BE">
        <w:t xml:space="preserve"> </w:t>
      </w:r>
      <w:r w:rsidR="00D066B6">
        <w:t xml:space="preserve"> </w:t>
      </w:r>
    </w:p>
    <w:p w:rsidR="001F22BE" w:rsidRPr="001F0848" w:rsidRDefault="001F22BE" w:rsidP="00D066B6">
      <w:pPr>
        <w:numPr>
          <w:ilvl w:val="0"/>
          <w:numId w:val="13"/>
        </w:numPr>
        <w:spacing w:after="240"/>
      </w:pPr>
      <w:r w:rsidRPr="001F22BE">
        <w:t xml:space="preserve">CHCBP premiums are based on the total premiums (Government plus employee) charged in </w:t>
      </w:r>
      <w:r w:rsidR="00E057EB">
        <w:t>Calender Year (</w:t>
      </w:r>
      <w:r w:rsidRPr="001F22BE">
        <w:t>CY</w:t>
      </w:r>
      <w:r w:rsidR="00E057EB">
        <w:t>)</w:t>
      </w:r>
      <w:r w:rsidRPr="001F22BE">
        <w:t xml:space="preserve"> 2018 for singles and for families in the </w:t>
      </w:r>
      <w:r w:rsidR="00D066B6">
        <w:t>GEHA</w:t>
      </w:r>
      <w:r w:rsidRPr="001F22BE">
        <w:t xml:space="preserve"> Standard plan within the FEHB</w:t>
      </w:r>
      <w:r>
        <w:t xml:space="preserve"> </w:t>
      </w:r>
      <w:r w:rsidRPr="001F22BE">
        <w:t>Program</w:t>
      </w:r>
      <w:r>
        <w:t>.</w:t>
      </w:r>
      <w:r w:rsidRPr="001F22BE">
        <w:t xml:space="preserve"> </w:t>
      </w:r>
    </w:p>
    <w:p w:rsidR="001F22BE" w:rsidRDefault="001F22BE" w:rsidP="00D066B6">
      <w:pPr>
        <w:numPr>
          <w:ilvl w:val="0"/>
          <w:numId w:val="13"/>
        </w:numPr>
        <w:spacing w:after="240"/>
      </w:pPr>
      <w:r>
        <w:t>Applied an increase of $25 per quarter, to account for incremental CHCBP administrative costs (e.g., premium collection and enrollment processing)</w:t>
      </w:r>
      <w:r w:rsidRPr="00292EE9">
        <w:t>.</w:t>
      </w:r>
      <w:r w:rsidRPr="001F0848">
        <w:t xml:space="preserve">  </w:t>
      </w:r>
    </w:p>
    <w:p w:rsidR="001F22BE" w:rsidRPr="00DE3DCC" w:rsidRDefault="001F22BE" w:rsidP="00D066B6">
      <w:pPr>
        <w:numPr>
          <w:ilvl w:val="0"/>
          <w:numId w:val="13"/>
        </w:numPr>
        <w:spacing w:after="240"/>
      </w:pPr>
      <w:r w:rsidRPr="001F22BE">
        <w:t xml:space="preserve">Beginning in 2016, FEHBP’s two-tier premium structure (single and family) was replaced by a three-tier structure, splitting the family tier into self-plus-one and family. </w:t>
      </w:r>
      <w:r w:rsidR="00E057EB">
        <w:t xml:space="preserve"> </w:t>
      </w:r>
      <w:r w:rsidRPr="001F22BE">
        <w:t>Because CHCBP only has two tiers, we have estimated a two-tier family premium for GEHA by applying the CY15 family to single relativity to the CY19 GEHA single premium.</w:t>
      </w:r>
    </w:p>
    <w:p w:rsidR="00D066B6" w:rsidRDefault="001F22BE" w:rsidP="001F22BE">
      <w:r w:rsidRPr="001F0848">
        <w:t xml:space="preserve">The resulting monthly </w:t>
      </w:r>
      <w:r w:rsidR="00D066B6">
        <w:t>CHCBP</w:t>
      </w:r>
      <w:r>
        <w:t xml:space="preserve"> </w:t>
      </w:r>
      <w:r w:rsidRPr="001F0848">
        <w:t xml:space="preserve">premium rates for </w:t>
      </w:r>
      <w:r w:rsidR="00D066B6">
        <w:t>fiscal</w:t>
      </w:r>
      <w:r w:rsidRPr="001F0848">
        <w:t xml:space="preserve"> year 20</w:t>
      </w:r>
      <w:r>
        <w:t xml:space="preserve">20 </w:t>
      </w:r>
      <w:r w:rsidRPr="001F0848">
        <w:t>are</w:t>
      </w:r>
      <w:r>
        <w:t>:</w:t>
      </w:r>
    </w:p>
    <w:p w:rsidR="001F22BE" w:rsidRDefault="001F22BE" w:rsidP="001F22BE">
      <w:r>
        <w:tab/>
      </w:r>
      <w:r w:rsidRPr="001F0848">
        <w:rPr>
          <w:b/>
        </w:rPr>
        <w:t>$</w:t>
      </w:r>
      <w:r>
        <w:rPr>
          <w:b/>
        </w:rPr>
        <w:t xml:space="preserve">    </w:t>
      </w:r>
      <w:r w:rsidR="00D066B6">
        <w:rPr>
          <w:b/>
        </w:rPr>
        <w:t>1,553</w:t>
      </w:r>
      <w:r>
        <w:rPr>
          <w:b/>
        </w:rPr>
        <w:t>.00</w:t>
      </w:r>
      <w:r>
        <w:rPr>
          <w:b/>
        </w:rPr>
        <w:tab/>
      </w:r>
      <w:r w:rsidR="00D066B6">
        <w:t>CHCBP Single</w:t>
      </w:r>
      <w:r w:rsidRPr="001F0848">
        <w:t xml:space="preserve"> and </w:t>
      </w:r>
    </w:p>
    <w:p w:rsidR="001F22BE" w:rsidRPr="001F0848" w:rsidRDefault="001F22BE" w:rsidP="001F22BE">
      <w:r>
        <w:tab/>
      </w:r>
      <w:r w:rsidRPr="001F0848">
        <w:rPr>
          <w:b/>
        </w:rPr>
        <w:t>$</w:t>
      </w:r>
      <w:r>
        <w:rPr>
          <w:b/>
        </w:rPr>
        <w:t xml:space="preserve">    </w:t>
      </w:r>
      <w:r w:rsidR="00D066B6">
        <w:rPr>
          <w:b/>
        </w:rPr>
        <w:t>3,500</w:t>
      </w:r>
      <w:r>
        <w:rPr>
          <w:b/>
        </w:rPr>
        <w:t>.00</w:t>
      </w:r>
      <w:r>
        <w:rPr>
          <w:b/>
        </w:rPr>
        <w:tab/>
      </w:r>
      <w:r w:rsidR="00D066B6">
        <w:t>CHCBP Family</w:t>
      </w:r>
      <w:r w:rsidRPr="001F0848">
        <w:t>.</w:t>
      </w:r>
    </w:p>
    <w:p w:rsidR="001F22BE" w:rsidRPr="00E206FA" w:rsidRDefault="001F22BE" w:rsidP="00E206FA">
      <w:pPr>
        <w:tabs>
          <w:tab w:val="left" w:pos="3384"/>
        </w:tabs>
      </w:pPr>
    </w:p>
    <w:sectPr w:rsidR="001F22BE" w:rsidRPr="00E206FA" w:rsidSect="00953AE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03" w:rsidRDefault="00FA6003">
      <w:r>
        <w:separator/>
      </w:r>
    </w:p>
  </w:endnote>
  <w:endnote w:type="continuationSeparator" w:id="0">
    <w:p w:rsidR="00FA6003" w:rsidRDefault="00F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BPI N+ 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03" w:rsidRDefault="00FA6003">
      <w:r>
        <w:separator/>
      </w:r>
    </w:p>
  </w:footnote>
  <w:footnote w:type="continuationSeparator" w:id="0">
    <w:p w:rsidR="00FA6003" w:rsidRDefault="00FA6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79C18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CB06E9"/>
    <w:multiLevelType w:val="hybridMultilevel"/>
    <w:tmpl w:val="B2026FC8"/>
    <w:lvl w:ilvl="0" w:tplc="8F74D020">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943E9"/>
    <w:multiLevelType w:val="hybridMultilevel"/>
    <w:tmpl w:val="46A21DDA"/>
    <w:lvl w:ilvl="0" w:tplc="0409000F">
      <w:start w:val="1"/>
      <w:numFmt w:val="decimal"/>
      <w:lvlText w:val="%1."/>
      <w:lvlJc w:val="left"/>
      <w:pPr>
        <w:tabs>
          <w:tab w:val="num" w:pos="360"/>
        </w:tabs>
        <w:ind w:left="360" w:hanging="360"/>
      </w:pPr>
      <w:rPr>
        <w:rFonts w:hint="default"/>
        <w:b w:val="0"/>
        <w:i w:val="0"/>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2387AF6"/>
    <w:multiLevelType w:val="hybridMultilevel"/>
    <w:tmpl w:val="EA1CFD10"/>
    <w:lvl w:ilvl="0" w:tplc="05061226">
      <w:start w:val="1"/>
      <w:numFmt w:val="bullet"/>
      <w:pStyle w:val="ListBullet2"/>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DA3FD1"/>
    <w:multiLevelType w:val="multilevel"/>
    <w:tmpl w:val="EDEE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52FB1"/>
    <w:multiLevelType w:val="hybridMultilevel"/>
    <w:tmpl w:val="99526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975AA9"/>
    <w:multiLevelType w:val="hybridMultilevel"/>
    <w:tmpl w:val="DB5CFA2C"/>
    <w:lvl w:ilvl="0" w:tplc="0409000F">
      <w:start w:val="1"/>
      <w:numFmt w:val="decimal"/>
      <w:lvlText w:val="%1."/>
      <w:lvlJc w:val="left"/>
      <w:pPr>
        <w:tabs>
          <w:tab w:val="num" w:pos="360"/>
        </w:tabs>
        <w:ind w:left="360" w:hanging="360"/>
      </w:pPr>
      <w:rPr>
        <w:rFonts w:hint="default"/>
        <w:b w:val="0"/>
        <w:i w:val="0"/>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D1D6DDE"/>
    <w:multiLevelType w:val="hybridMultilevel"/>
    <w:tmpl w:val="46A21DDA"/>
    <w:lvl w:ilvl="0" w:tplc="0409000F">
      <w:start w:val="1"/>
      <w:numFmt w:val="decimal"/>
      <w:lvlText w:val="%1."/>
      <w:lvlJc w:val="left"/>
      <w:pPr>
        <w:tabs>
          <w:tab w:val="num" w:pos="360"/>
        </w:tabs>
        <w:ind w:left="360" w:hanging="360"/>
      </w:pPr>
      <w:rPr>
        <w:rFonts w:hint="default"/>
        <w:b w:val="0"/>
        <w:i w:val="0"/>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6D9A7CE1"/>
    <w:multiLevelType w:val="hybridMultilevel"/>
    <w:tmpl w:val="06786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B777A2"/>
    <w:multiLevelType w:val="hybridMultilevel"/>
    <w:tmpl w:val="B2620116"/>
    <w:lvl w:ilvl="0" w:tplc="0FE051E4">
      <w:start w:val="1"/>
      <w:numFmt w:val="bullet"/>
      <w:lvlText w:val=""/>
      <w:lvlJc w:val="left"/>
      <w:pPr>
        <w:tabs>
          <w:tab w:val="num" w:pos="0"/>
        </w:tabs>
        <w:ind w:left="360" w:hanging="360"/>
      </w:pPr>
      <w:rPr>
        <w:rFonts w:ascii="Symbol" w:hAnsi="Symbol" w:hint="default"/>
        <w:b w:val="0"/>
        <w:i w:val="0"/>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3"/>
  </w:num>
  <w:num w:numId="6">
    <w:abstractNumId w:val="3"/>
  </w:num>
  <w:num w:numId="7">
    <w:abstractNumId w:val="3"/>
  </w:num>
  <w:num w:numId="8">
    <w:abstractNumId w:val="8"/>
  </w:num>
  <w:num w:numId="9">
    <w:abstractNumId w:val="9"/>
  </w:num>
  <w:num w:numId="10">
    <w:abstractNumId w:val="7"/>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US" w:vendorID="64" w:dllVersion="131078"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2C"/>
    <w:rsid w:val="000051EC"/>
    <w:rsid w:val="00012D59"/>
    <w:rsid w:val="0002212C"/>
    <w:rsid w:val="0002242D"/>
    <w:rsid w:val="0003093E"/>
    <w:rsid w:val="00031200"/>
    <w:rsid w:val="000358B7"/>
    <w:rsid w:val="00036CD0"/>
    <w:rsid w:val="00036D86"/>
    <w:rsid w:val="00043B0D"/>
    <w:rsid w:val="00045D16"/>
    <w:rsid w:val="000626C7"/>
    <w:rsid w:val="00066147"/>
    <w:rsid w:val="00080C9B"/>
    <w:rsid w:val="00090128"/>
    <w:rsid w:val="000A18D1"/>
    <w:rsid w:val="000A34D8"/>
    <w:rsid w:val="000A3EF0"/>
    <w:rsid w:val="000B70BA"/>
    <w:rsid w:val="000D3832"/>
    <w:rsid w:val="00105EC5"/>
    <w:rsid w:val="00115673"/>
    <w:rsid w:val="00120573"/>
    <w:rsid w:val="001215B3"/>
    <w:rsid w:val="001270B7"/>
    <w:rsid w:val="00140D95"/>
    <w:rsid w:val="00142D9C"/>
    <w:rsid w:val="0015287B"/>
    <w:rsid w:val="001629BC"/>
    <w:rsid w:val="001648A4"/>
    <w:rsid w:val="00177FDB"/>
    <w:rsid w:val="00182567"/>
    <w:rsid w:val="001C0376"/>
    <w:rsid w:val="001C55BD"/>
    <w:rsid w:val="001D1056"/>
    <w:rsid w:val="001D2059"/>
    <w:rsid w:val="001F0848"/>
    <w:rsid w:val="001F22BE"/>
    <w:rsid w:val="0020469D"/>
    <w:rsid w:val="00210572"/>
    <w:rsid w:val="00212B5E"/>
    <w:rsid w:val="00236584"/>
    <w:rsid w:val="00237F42"/>
    <w:rsid w:val="00244ED0"/>
    <w:rsid w:val="002733C7"/>
    <w:rsid w:val="002738E1"/>
    <w:rsid w:val="00280105"/>
    <w:rsid w:val="0028170D"/>
    <w:rsid w:val="00292EE9"/>
    <w:rsid w:val="00294E33"/>
    <w:rsid w:val="002A2685"/>
    <w:rsid w:val="002C3179"/>
    <w:rsid w:val="002D1162"/>
    <w:rsid w:val="002D4713"/>
    <w:rsid w:val="002D69C9"/>
    <w:rsid w:val="002F4123"/>
    <w:rsid w:val="002F55F8"/>
    <w:rsid w:val="00314FF8"/>
    <w:rsid w:val="00315231"/>
    <w:rsid w:val="0032100F"/>
    <w:rsid w:val="00330B85"/>
    <w:rsid w:val="003331A4"/>
    <w:rsid w:val="00346C3C"/>
    <w:rsid w:val="00360658"/>
    <w:rsid w:val="00366F0A"/>
    <w:rsid w:val="00391F61"/>
    <w:rsid w:val="003A1BCE"/>
    <w:rsid w:val="003B2A4B"/>
    <w:rsid w:val="003B3943"/>
    <w:rsid w:val="003C295E"/>
    <w:rsid w:val="003C4BF4"/>
    <w:rsid w:val="003D085D"/>
    <w:rsid w:val="003D7059"/>
    <w:rsid w:val="003E5675"/>
    <w:rsid w:val="003F2528"/>
    <w:rsid w:val="003F29CF"/>
    <w:rsid w:val="00403ABD"/>
    <w:rsid w:val="004054BE"/>
    <w:rsid w:val="00410C70"/>
    <w:rsid w:val="00421060"/>
    <w:rsid w:val="0043432D"/>
    <w:rsid w:val="00452D3C"/>
    <w:rsid w:val="00492B1B"/>
    <w:rsid w:val="00496145"/>
    <w:rsid w:val="004A155E"/>
    <w:rsid w:val="004B1024"/>
    <w:rsid w:val="004B78EF"/>
    <w:rsid w:val="004C03A8"/>
    <w:rsid w:val="004C727B"/>
    <w:rsid w:val="004D3801"/>
    <w:rsid w:val="004E61B7"/>
    <w:rsid w:val="004F6538"/>
    <w:rsid w:val="0050293D"/>
    <w:rsid w:val="00504312"/>
    <w:rsid w:val="00507538"/>
    <w:rsid w:val="00515BAD"/>
    <w:rsid w:val="005205BD"/>
    <w:rsid w:val="00521CC3"/>
    <w:rsid w:val="0052595F"/>
    <w:rsid w:val="005404FD"/>
    <w:rsid w:val="0054336B"/>
    <w:rsid w:val="005446F8"/>
    <w:rsid w:val="00553C07"/>
    <w:rsid w:val="005563C0"/>
    <w:rsid w:val="005710B1"/>
    <w:rsid w:val="005766F0"/>
    <w:rsid w:val="005806FC"/>
    <w:rsid w:val="0059045C"/>
    <w:rsid w:val="005C0116"/>
    <w:rsid w:val="005C082E"/>
    <w:rsid w:val="005C20C1"/>
    <w:rsid w:val="005D01D1"/>
    <w:rsid w:val="005D1BCE"/>
    <w:rsid w:val="005D6C57"/>
    <w:rsid w:val="005D7C81"/>
    <w:rsid w:val="005E2B79"/>
    <w:rsid w:val="005E6576"/>
    <w:rsid w:val="005E7798"/>
    <w:rsid w:val="005E77D0"/>
    <w:rsid w:val="005F16A6"/>
    <w:rsid w:val="005F2970"/>
    <w:rsid w:val="005F70DF"/>
    <w:rsid w:val="005F77BF"/>
    <w:rsid w:val="0060041D"/>
    <w:rsid w:val="00602CD7"/>
    <w:rsid w:val="00613234"/>
    <w:rsid w:val="006174F7"/>
    <w:rsid w:val="00621D3C"/>
    <w:rsid w:val="006325AB"/>
    <w:rsid w:val="00646D13"/>
    <w:rsid w:val="0065032A"/>
    <w:rsid w:val="00660AE1"/>
    <w:rsid w:val="006717D6"/>
    <w:rsid w:val="00690026"/>
    <w:rsid w:val="006A255C"/>
    <w:rsid w:val="006A7BBC"/>
    <w:rsid w:val="006B3DDF"/>
    <w:rsid w:val="006D7E32"/>
    <w:rsid w:val="007125BB"/>
    <w:rsid w:val="007156E5"/>
    <w:rsid w:val="00715E6C"/>
    <w:rsid w:val="007168C5"/>
    <w:rsid w:val="0072193D"/>
    <w:rsid w:val="00730516"/>
    <w:rsid w:val="007308EA"/>
    <w:rsid w:val="0073312B"/>
    <w:rsid w:val="00740EE4"/>
    <w:rsid w:val="00752FBC"/>
    <w:rsid w:val="00767AAE"/>
    <w:rsid w:val="007727FB"/>
    <w:rsid w:val="0077790A"/>
    <w:rsid w:val="007815C1"/>
    <w:rsid w:val="00785D8B"/>
    <w:rsid w:val="00791023"/>
    <w:rsid w:val="00792638"/>
    <w:rsid w:val="00792CC3"/>
    <w:rsid w:val="007A4549"/>
    <w:rsid w:val="007A7482"/>
    <w:rsid w:val="007B3AF6"/>
    <w:rsid w:val="007B7EB1"/>
    <w:rsid w:val="007D3E3A"/>
    <w:rsid w:val="007D70A1"/>
    <w:rsid w:val="007F41A0"/>
    <w:rsid w:val="00807C0A"/>
    <w:rsid w:val="0081312C"/>
    <w:rsid w:val="008166F6"/>
    <w:rsid w:val="00827C75"/>
    <w:rsid w:val="0085255F"/>
    <w:rsid w:val="00856BED"/>
    <w:rsid w:val="00884101"/>
    <w:rsid w:val="0088538C"/>
    <w:rsid w:val="00886862"/>
    <w:rsid w:val="00890DC1"/>
    <w:rsid w:val="00893E5A"/>
    <w:rsid w:val="008C5D4B"/>
    <w:rsid w:val="008D14E3"/>
    <w:rsid w:val="008D6C68"/>
    <w:rsid w:val="008E1609"/>
    <w:rsid w:val="008F13A6"/>
    <w:rsid w:val="008F3A4D"/>
    <w:rsid w:val="0090464A"/>
    <w:rsid w:val="0091561D"/>
    <w:rsid w:val="009251E9"/>
    <w:rsid w:val="0092566F"/>
    <w:rsid w:val="0093365B"/>
    <w:rsid w:val="00937F38"/>
    <w:rsid w:val="0095240F"/>
    <w:rsid w:val="00953AE1"/>
    <w:rsid w:val="00961156"/>
    <w:rsid w:val="00963F9D"/>
    <w:rsid w:val="009731C0"/>
    <w:rsid w:val="00981881"/>
    <w:rsid w:val="00987A16"/>
    <w:rsid w:val="00992BFA"/>
    <w:rsid w:val="00992CFD"/>
    <w:rsid w:val="009930E5"/>
    <w:rsid w:val="009974A0"/>
    <w:rsid w:val="009A5779"/>
    <w:rsid w:val="009C1269"/>
    <w:rsid w:val="009C3DE6"/>
    <w:rsid w:val="009C719B"/>
    <w:rsid w:val="009E025D"/>
    <w:rsid w:val="009E2FF3"/>
    <w:rsid w:val="009E4C62"/>
    <w:rsid w:val="009E7880"/>
    <w:rsid w:val="009F4543"/>
    <w:rsid w:val="00A001BD"/>
    <w:rsid w:val="00A202FB"/>
    <w:rsid w:val="00A22591"/>
    <w:rsid w:val="00A32C1C"/>
    <w:rsid w:val="00A478EF"/>
    <w:rsid w:val="00A528F6"/>
    <w:rsid w:val="00A5734F"/>
    <w:rsid w:val="00A65894"/>
    <w:rsid w:val="00A67315"/>
    <w:rsid w:val="00A763E5"/>
    <w:rsid w:val="00A8430A"/>
    <w:rsid w:val="00A92B1B"/>
    <w:rsid w:val="00AB1CF1"/>
    <w:rsid w:val="00AD57D7"/>
    <w:rsid w:val="00AE1789"/>
    <w:rsid w:val="00AE724A"/>
    <w:rsid w:val="00AF539E"/>
    <w:rsid w:val="00AF7993"/>
    <w:rsid w:val="00B10C78"/>
    <w:rsid w:val="00B170E7"/>
    <w:rsid w:val="00B22370"/>
    <w:rsid w:val="00B22F89"/>
    <w:rsid w:val="00B254EB"/>
    <w:rsid w:val="00B40252"/>
    <w:rsid w:val="00B40CC2"/>
    <w:rsid w:val="00B432C5"/>
    <w:rsid w:val="00B53BD1"/>
    <w:rsid w:val="00B65247"/>
    <w:rsid w:val="00B72D41"/>
    <w:rsid w:val="00B805F5"/>
    <w:rsid w:val="00B852EE"/>
    <w:rsid w:val="00B85FF2"/>
    <w:rsid w:val="00B970E3"/>
    <w:rsid w:val="00BA2A25"/>
    <w:rsid w:val="00BC4788"/>
    <w:rsid w:val="00BD1573"/>
    <w:rsid w:val="00BD723B"/>
    <w:rsid w:val="00BE17F1"/>
    <w:rsid w:val="00BF21DF"/>
    <w:rsid w:val="00BF579A"/>
    <w:rsid w:val="00BF6255"/>
    <w:rsid w:val="00C02AF4"/>
    <w:rsid w:val="00C065BC"/>
    <w:rsid w:val="00C11868"/>
    <w:rsid w:val="00C21E22"/>
    <w:rsid w:val="00C256AE"/>
    <w:rsid w:val="00C42305"/>
    <w:rsid w:val="00C4540A"/>
    <w:rsid w:val="00C643EB"/>
    <w:rsid w:val="00C66CDE"/>
    <w:rsid w:val="00C676AE"/>
    <w:rsid w:val="00C750C4"/>
    <w:rsid w:val="00C85D36"/>
    <w:rsid w:val="00CA69A6"/>
    <w:rsid w:val="00CB5644"/>
    <w:rsid w:val="00CD1AE1"/>
    <w:rsid w:val="00CD4285"/>
    <w:rsid w:val="00CD5A30"/>
    <w:rsid w:val="00CD5E9C"/>
    <w:rsid w:val="00CD7E8F"/>
    <w:rsid w:val="00CE1250"/>
    <w:rsid w:val="00CE17C6"/>
    <w:rsid w:val="00CE72C8"/>
    <w:rsid w:val="00CF5B9F"/>
    <w:rsid w:val="00CF74F4"/>
    <w:rsid w:val="00D00742"/>
    <w:rsid w:val="00D066B6"/>
    <w:rsid w:val="00D07C0C"/>
    <w:rsid w:val="00D2410D"/>
    <w:rsid w:val="00D3248A"/>
    <w:rsid w:val="00D336AF"/>
    <w:rsid w:val="00D4021D"/>
    <w:rsid w:val="00D53114"/>
    <w:rsid w:val="00D77E1F"/>
    <w:rsid w:val="00D836E2"/>
    <w:rsid w:val="00D84ACD"/>
    <w:rsid w:val="00D97993"/>
    <w:rsid w:val="00DA7D52"/>
    <w:rsid w:val="00DB1068"/>
    <w:rsid w:val="00DD3FD0"/>
    <w:rsid w:val="00DD5625"/>
    <w:rsid w:val="00DE3DCC"/>
    <w:rsid w:val="00E057EB"/>
    <w:rsid w:val="00E206FA"/>
    <w:rsid w:val="00E23B41"/>
    <w:rsid w:val="00E34B83"/>
    <w:rsid w:val="00E475F4"/>
    <w:rsid w:val="00E51918"/>
    <w:rsid w:val="00E63FDA"/>
    <w:rsid w:val="00E70EF5"/>
    <w:rsid w:val="00E90C4A"/>
    <w:rsid w:val="00E92251"/>
    <w:rsid w:val="00E966D8"/>
    <w:rsid w:val="00EA1DC4"/>
    <w:rsid w:val="00EA6F7F"/>
    <w:rsid w:val="00EA7B37"/>
    <w:rsid w:val="00EC0A3F"/>
    <w:rsid w:val="00ED1CA5"/>
    <w:rsid w:val="00F11C0F"/>
    <w:rsid w:val="00F17617"/>
    <w:rsid w:val="00F20575"/>
    <w:rsid w:val="00F3382C"/>
    <w:rsid w:val="00F4556A"/>
    <w:rsid w:val="00F54653"/>
    <w:rsid w:val="00F56238"/>
    <w:rsid w:val="00F6510D"/>
    <w:rsid w:val="00F82855"/>
    <w:rsid w:val="00F83DCB"/>
    <w:rsid w:val="00F8418B"/>
    <w:rsid w:val="00F96999"/>
    <w:rsid w:val="00FA6003"/>
    <w:rsid w:val="00FB1253"/>
    <w:rsid w:val="00FC7E3C"/>
    <w:rsid w:val="00FD1DD7"/>
    <w:rsid w:val="00FE51C2"/>
    <w:rsid w:val="00FE7311"/>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219CCD-51FC-4202-9652-8B1F599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46C3C"/>
    <w:rPr>
      <w:color w:val="0000FF"/>
      <w:u w:val="single"/>
    </w:rPr>
  </w:style>
  <w:style w:type="paragraph" w:styleId="NormalWeb">
    <w:name w:val="Normal (Web)"/>
    <w:basedOn w:val="Normal"/>
    <w:rsid w:val="00346C3C"/>
    <w:pPr>
      <w:spacing w:before="100" w:beforeAutospacing="1" w:after="100" w:afterAutospacing="1"/>
    </w:pPr>
  </w:style>
  <w:style w:type="character" w:customStyle="1" w:styleId="ptext-2">
    <w:name w:val="ptext-2"/>
    <w:rsid w:val="000A18D1"/>
    <w:rPr>
      <w:b w:val="0"/>
      <w:bCs w:val="0"/>
    </w:rPr>
  </w:style>
  <w:style w:type="character" w:customStyle="1" w:styleId="ptext-3">
    <w:name w:val="ptext-3"/>
    <w:rsid w:val="000A18D1"/>
    <w:rPr>
      <w:b w:val="0"/>
      <w:bCs w:val="0"/>
    </w:rPr>
  </w:style>
  <w:style w:type="character" w:customStyle="1" w:styleId="enumbell">
    <w:name w:val="enumbell"/>
    <w:rsid w:val="000A18D1"/>
    <w:rPr>
      <w:b/>
      <w:bCs/>
    </w:rPr>
  </w:style>
  <w:style w:type="paragraph" w:styleId="BalloonText">
    <w:name w:val="Balloon Text"/>
    <w:basedOn w:val="Normal"/>
    <w:semiHidden/>
    <w:rsid w:val="00C643EB"/>
    <w:rPr>
      <w:rFonts w:ascii="Tahoma" w:hAnsi="Tahoma" w:cs="Tahoma"/>
      <w:sz w:val="16"/>
      <w:szCs w:val="16"/>
    </w:rPr>
  </w:style>
  <w:style w:type="paragraph" w:styleId="ListBullet2">
    <w:name w:val="List Bullet 2"/>
    <w:basedOn w:val="Normal"/>
    <w:autoRedefine/>
    <w:rsid w:val="005F2970"/>
    <w:pPr>
      <w:numPr>
        <w:numId w:val="4"/>
      </w:numPr>
    </w:pPr>
  </w:style>
  <w:style w:type="paragraph" w:styleId="Header">
    <w:name w:val="header"/>
    <w:basedOn w:val="Normal"/>
    <w:rsid w:val="006B3DDF"/>
    <w:pPr>
      <w:tabs>
        <w:tab w:val="center" w:pos="4320"/>
        <w:tab w:val="right" w:pos="8640"/>
      </w:tabs>
    </w:pPr>
  </w:style>
  <w:style w:type="paragraph" w:styleId="Footer">
    <w:name w:val="footer"/>
    <w:basedOn w:val="Normal"/>
    <w:rsid w:val="006B3DDF"/>
    <w:pPr>
      <w:tabs>
        <w:tab w:val="center" w:pos="4320"/>
        <w:tab w:val="right" w:pos="8640"/>
      </w:tabs>
    </w:pPr>
  </w:style>
  <w:style w:type="table" w:styleId="TableGrid">
    <w:name w:val="Table Grid"/>
    <w:basedOn w:val="TableNormal"/>
    <w:rsid w:val="008D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autoRedefine/>
    <w:semiHidden/>
    <w:rsid w:val="00D97993"/>
    <w:pPr>
      <w:ind w:left="288" w:hanging="288"/>
    </w:pPr>
    <w:rPr>
      <w:rFonts w:ascii="Arial" w:hAnsi="Arial"/>
      <w:sz w:val="20"/>
      <w:szCs w:val="20"/>
    </w:rPr>
  </w:style>
  <w:style w:type="character" w:styleId="FootnoteReference">
    <w:name w:val="footnote reference"/>
    <w:semiHidden/>
    <w:rsid w:val="00D97993"/>
    <w:rPr>
      <w:rFonts w:ascii="Arial" w:hAnsi="Arial"/>
      <w:sz w:val="18"/>
      <w:vertAlign w:val="superscript"/>
    </w:rPr>
  </w:style>
  <w:style w:type="table" w:styleId="TableList3">
    <w:name w:val="Table List 3"/>
    <w:basedOn w:val="TableNormal"/>
    <w:rsid w:val="005433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Caption">
    <w:name w:val="caption"/>
    <w:basedOn w:val="Normal"/>
    <w:next w:val="Normal"/>
    <w:qFormat/>
    <w:rsid w:val="00E966D8"/>
    <w:rPr>
      <w:b/>
      <w:bCs/>
      <w:sz w:val="20"/>
      <w:szCs w:val="20"/>
    </w:rPr>
  </w:style>
  <w:style w:type="paragraph" w:styleId="DocumentMap">
    <w:name w:val="Document Map"/>
    <w:basedOn w:val="Normal"/>
    <w:semiHidden/>
    <w:rsid w:val="00F83DCB"/>
    <w:pPr>
      <w:shd w:val="clear" w:color="auto" w:fill="000080"/>
    </w:pPr>
    <w:rPr>
      <w:rFonts w:ascii="Tahoma" w:hAnsi="Tahoma" w:cs="Tahoma"/>
      <w:sz w:val="20"/>
      <w:szCs w:val="20"/>
    </w:rPr>
  </w:style>
  <w:style w:type="character" w:styleId="CommentReference">
    <w:name w:val="annotation reference"/>
    <w:rsid w:val="0088538C"/>
    <w:rPr>
      <w:sz w:val="16"/>
      <w:szCs w:val="16"/>
    </w:rPr>
  </w:style>
  <w:style w:type="paragraph" w:styleId="CommentText">
    <w:name w:val="annotation text"/>
    <w:basedOn w:val="Normal"/>
    <w:link w:val="CommentTextChar"/>
    <w:rsid w:val="0088538C"/>
    <w:rPr>
      <w:sz w:val="20"/>
      <w:szCs w:val="20"/>
    </w:rPr>
  </w:style>
  <w:style w:type="character" w:customStyle="1" w:styleId="CommentTextChar">
    <w:name w:val="Comment Text Char"/>
    <w:basedOn w:val="DefaultParagraphFont"/>
    <w:link w:val="CommentText"/>
    <w:rsid w:val="0088538C"/>
  </w:style>
  <w:style w:type="paragraph" w:styleId="CommentSubject">
    <w:name w:val="annotation subject"/>
    <w:basedOn w:val="CommentText"/>
    <w:next w:val="CommentText"/>
    <w:link w:val="CommentSubjectChar"/>
    <w:rsid w:val="0088538C"/>
    <w:rPr>
      <w:b/>
      <w:bCs/>
    </w:rPr>
  </w:style>
  <w:style w:type="character" w:customStyle="1" w:styleId="CommentSubjectChar">
    <w:name w:val="Comment Subject Char"/>
    <w:link w:val="CommentSubject"/>
    <w:rsid w:val="0088538C"/>
    <w:rPr>
      <w:b/>
      <w:bCs/>
    </w:rPr>
  </w:style>
  <w:style w:type="paragraph" w:customStyle="1" w:styleId="SP233528">
    <w:name w:val="SP233528"/>
    <w:basedOn w:val="Normal"/>
    <w:next w:val="Normal"/>
    <w:uiPriority w:val="99"/>
    <w:rsid w:val="00C11868"/>
    <w:pPr>
      <w:autoSpaceDE w:val="0"/>
      <w:autoSpaceDN w:val="0"/>
      <w:adjustRightInd w:val="0"/>
    </w:pPr>
    <w:rPr>
      <w:rFonts w:ascii="OPBPI N+ Myriad Pro" w:hAnsi="OPBPI N+ Myriad Pro"/>
    </w:rPr>
  </w:style>
  <w:style w:type="paragraph" w:customStyle="1" w:styleId="SP233486">
    <w:name w:val="SP233486"/>
    <w:basedOn w:val="Normal"/>
    <w:next w:val="Normal"/>
    <w:uiPriority w:val="99"/>
    <w:rsid w:val="00C11868"/>
    <w:pPr>
      <w:autoSpaceDE w:val="0"/>
      <w:autoSpaceDN w:val="0"/>
      <w:adjustRightInd w:val="0"/>
    </w:pPr>
    <w:rPr>
      <w:rFonts w:ascii="OPBPI N+ Myriad Pro" w:hAnsi="OPBPI N+ Myriad Pro"/>
    </w:rPr>
  </w:style>
  <w:style w:type="character" w:customStyle="1" w:styleId="SC2544">
    <w:name w:val="SC2544"/>
    <w:uiPriority w:val="99"/>
    <w:rsid w:val="00C11868"/>
    <w:rPr>
      <w:rFonts w:cs="OPBPI N+ 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0274">
      <w:bodyDiv w:val="1"/>
      <w:marLeft w:val="0"/>
      <w:marRight w:val="0"/>
      <w:marTop w:val="0"/>
      <w:marBottom w:val="0"/>
      <w:divBdr>
        <w:top w:val="none" w:sz="0" w:space="0" w:color="auto"/>
        <w:left w:val="none" w:sz="0" w:space="0" w:color="auto"/>
        <w:bottom w:val="none" w:sz="0" w:space="0" w:color="auto"/>
        <w:right w:val="none" w:sz="0" w:space="0" w:color="auto"/>
      </w:divBdr>
      <w:divsChild>
        <w:div w:id="269246701">
          <w:marLeft w:val="0"/>
          <w:marRight w:val="0"/>
          <w:marTop w:val="1"/>
          <w:marBottom w:val="1"/>
          <w:divBdr>
            <w:top w:val="none" w:sz="0" w:space="0" w:color="auto"/>
            <w:left w:val="none" w:sz="0" w:space="0" w:color="auto"/>
            <w:bottom w:val="none" w:sz="0" w:space="0" w:color="auto"/>
            <w:right w:val="none" w:sz="0" w:space="0" w:color="auto"/>
          </w:divBdr>
          <w:divsChild>
            <w:div w:id="299190501">
              <w:marLeft w:val="0"/>
              <w:marRight w:val="0"/>
              <w:marTop w:val="0"/>
              <w:marBottom w:val="0"/>
              <w:divBdr>
                <w:top w:val="none" w:sz="0" w:space="0" w:color="auto"/>
                <w:left w:val="none" w:sz="0" w:space="0" w:color="auto"/>
                <w:bottom w:val="none" w:sz="0" w:space="0" w:color="auto"/>
                <w:right w:val="none" w:sz="0" w:space="0" w:color="auto"/>
              </w:divBdr>
              <w:divsChild>
                <w:div w:id="2028939481">
                  <w:marLeft w:val="0"/>
                  <w:marRight w:val="0"/>
                  <w:marTop w:val="0"/>
                  <w:marBottom w:val="0"/>
                  <w:divBdr>
                    <w:top w:val="none" w:sz="0" w:space="0" w:color="auto"/>
                    <w:left w:val="none" w:sz="0" w:space="0" w:color="auto"/>
                    <w:bottom w:val="none" w:sz="0" w:space="0" w:color="auto"/>
                    <w:right w:val="none" w:sz="0" w:space="0" w:color="auto"/>
                  </w:divBdr>
                  <w:divsChild>
                    <w:div w:id="1377269875">
                      <w:marLeft w:val="4"/>
                      <w:marRight w:val="0"/>
                      <w:marTop w:val="0"/>
                      <w:marBottom w:val="0"/>
                      <w:divBdr>
                        <w:top w:val="none" w:sz="0" w:space="0" w:color="auto"/>
                        <w:left w:val="none" w:sz="0" w:space="0" w:color="auto"/>
                        <w:bottom w:val="none" w:sz="0" w:space="0" w:color="auto"/>
                        <w:right w:val="none" w:sz="0" w:space="0" w:color="auto"/>
                      </w:divBdr>
                      <w:divsChild>
                        <w:div w:id="510023228">
                          <w:marLeft w:val="4"/>
                          <w:marRight w:val="0"/>
                          <w:marTop w:val="0"/>
                          <w:marBottom w:val="0"/>
                          <w:divBdr>
                            <w:top w:val="none" w:sz="0" w:space="0" w:color="auto"/>
                            <w:left w:val="none" w:sz="0" w:space="0" w:color="auto"/>
                            <w:bottom w:val="none" w:sz="0" w:space="0" w:color="auto"/>
                            <w:right w:val="none" w:sz="0" w:space="0" w:color="auto"/>
                          </w:divBdr>
                          <w:divsChild>
                            <w:div w:id="1136028788">
                              <w:marLeft w:val="4"/>
                              <w:marRight w:val="0"/>
                              <w:marTop w:val="0"/>
                              <w:marBottom w:val="0"/>
                              <w:divBdr>
                                <w:top w:val="none" w:sz="0" w:space="0" w:color="auto"/>
                                <w:left w:val="none" w:sz="0" w:space="0" w:color="auto"/>
                                <w:bottom w:val="none" w:sz="0" w:space="0" w:color="auto"/>
                                <w:right w:val="none" w:sz="0" w:space="0" w:color="auto"/>
                              </w:divBdr>
                            </w:div>
                            <w:div w:id="1470517665">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8068">
      <w:bodyDiv w:val="1"/>
      <w:marLeft w:val="0"/>
      <w:marRight w:val="0"/>
      <w:marTop w:val="0"/>
      <w:marBottom w:val="0"/>
      <w:divBdr>
        <w:top w:val="none" w:sz="0" w:space="0" w:color="auto"/>
        <w:left w:val="none" w:sz="0" w:space="0" w:color="auto"/>
        <w:bottom w:val="none" w:sz="0" w:space="0" w:color="auto"/>
        <w:right w:val="none" w:sz="0" w:space="0" w:color="auto"/>
      </w:divBdr>
    </w:div>
    <w:div w:id="570971961">
      <w:bodyDiv w:val="1"/>
      <w:marLeft w:val="0"/>
      <w:marRight w:val="0"/>
      <w:marTop w:val="0"/>
      <w:marBottom w:val="0"/>
      <w:divBdr>
        <w:top w:val="none" w:sz="0" w:space="0" w:color="auto"/>
        <w:left w:val="none" w:sz="0" w:space="0" w:color="auto"/>
        <w:bottom w:val="none" w:sz="0" w:space="0" w:color="auto"/>
        <w:right w:val="none" w:sz="0" w:space="0" w:color="auto"/>
      </w:divBdr>
    </w:div>
    <w:div w:id="827283927">
      <w:bodyDiv w:val="1"/>
      <w:marLeft w:val="0"/>
      <w:marRight w:val="0"/>
      <w:marTop w:val="0"/>
      <w:marBottom w:val="0"/>
      <w:divBdr>
        <w:top w:val="none" w:sz="0" w:space="0" w:color="auto"/>
        <w:left w:val="none" w:sz="0" w:space="0" w:color="auto"/>
        <w:bottom w:val="none" w:sz="0" w:space="0" w:color="auto"/>
        <w:right w:val="none" w:sz="0" w:space="0" w:color="auto"/>
      </w:divBdr>
    </w:div>
    <w:div w:id="827405275">
      <w:bodyDiv w:val="1"/>
      <w:marLeft w:val="0"/>
      <w:marRight w:val="0"/>
      <w:marTop w:val="0"/>
      <w:marBottom w:val="0"/>
      <w:divBdr>
        <w:top w:val="none" w:sz="0" w:space="0" w:color="auto"/>
        <w:left w:val="none" w:sz="0" w:space="0" w:color="auto"/>
        <w:bottom w:val="none" w:sz="0" w:space="0" w:color="auto"/>
        <w:right w:val="none" w:sz="0" w:space="0" w:color="auto"/>
      </w:divBdr>
    </w:div>
    <w:div w:id="1019282372">
      <w:bodyDiv w:val="1"/>
      <w:marLeft w:val="0"/>
      <w:marRight w:val="0"/>
      <w:marTop w:val="0"/>
      <w:marBottom w:val="0"/>
      <w:divBdr>
        <w:top w:val="none" w:sz="0" w:space="0" w:color="auto"/>
        <w:left w:val="none" w:sz="0" w:space="0" w:color="auto"/>
        <w:bottom w:val="none" w:sz="0" w:space="0" w:color="auto"/>
        <w:right w:val="none" w:sz="0" w:space="0" w:color="auto"/>
      </w:divBdr>
      <w:divsChild>
        <w:div w:id="225067024">
          <w:marLeft w:val="0"/>
          <w:marRight w:val="0"/>
          <w:marTop w:val="0"/>
          <w:marBottom w:val="0"/>
          <w:divBdr>
            <w:top w:val="none" w:sz="0" w:space="0" w:color="auto"/>
            <w:left w:val="none" w:sz="0" w:space="0" w:color="auto"/>
            <w:bottom w:val="none" w:sz="0" w:space="0" w:color="auto"/>
            <w:right w:val="none" w:sz="0" w:space="0" w:color="auto"/>
          </w:divBdr>
        </w:div>
        <w:div w:id="6978525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58212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005398">
                  <w:marLeft w:val="0"/>
                  <w:marRight w:val="0"/>
                  <w:marTop w:val="0"/>
                  <w:marBottom w:val="0"/>
                  <w:divBdr>
                    <w:top w:val="none" w:sz="0" w:space="0" w:color="auto"/>
                    <w:left w:val="none" w:sz="0" w:space="0" w:color="auto"/>
                    <w:bottom w:val="none" w:sz="0" w:space="0" w:color="auto"/>
                    <w:right w:val="none" w:sz="0" w:space="0" w:color="auto"/>
                  </w:divBdr>
                </w:div>
                <w:div w:id="307052792">
                  <w:marLeft w:val="0"/>
                  <w:marRight w:val="0"/>
                  <w:marTop w:val="0"/>
                  <w:marBottom w:val="0"/>
                  <w:divBdr>
                    <w:top w:val="none" w:sz="0" w:space="0" w:color="auto"/>
                    <w:left w:val="none" w:sz="0" w:space="0" w:color="auto"/>
                    <w:bottom w:val="none" w:sz="0" w:space="0" w:color="auto"/>
                    <w:right w:val="none" w:sz="0" w:space="0" w:color="auto"/>
                  </w:divBdr>
                </w:div>
                <w:div w:id="367072725">
                  <w:marLeft w:val="0"/>
                  <w:marRight w:val="0"/>
                  <w:marTop w:val="0"/>
                  <w:marBottom w:val="0"/>
                  <w:divBdr>
                    <w:top w:val="none" w:sz="0" w:space="0" w:color="auto"/>
                    <w:left w:val="none" w:sz="0" w:space="0" w:color="auto"/>
                    <w:bottom w:val="none" w:sz="0" w:space="0" w:color="auto"/>
                    <w:right w:val="none" w:sz="0" w:space="0" w:color="auto"/>
                  </w:divBdr>
                </w:div>
                <w:div w:id="527839307">
                  <w:marLeft w:val="0"/>
                  <w:marRight w:val="0"/>
                  <w:marTop w:val="0"/>
                  <w:marBottom w:val="0"/>
                  <w:divBdr>
                    <w:top w:val="none" w:sz="0" w:space="0" w:color="auto"/>
                    <w:left w:val="none" w:sz="0" w:space="0" w:color="auto"/>
                    <w:bottom w:val="none" w:sz="0" w:space="0" w:color="auto"/>
                    <w:right w:val="none" w:sz="0" w:space="0" w:color="auto"/>
                  </w:divBdr>
                </w:div>
                <w:div w:id="7950310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22878">
                      <w:marLeft w:val="0"/>
                      <w:marRight w:val="0"/>
                      <w:marTop w:val="0"/>
                      <w:marBottom w:val="0"/>
                      <w:divBdr>
                        <w:top w:val="none" w:sz="0" w:space="0" w:color="auto"/>
                        <w:left w:val="none" w:sz="0" w:space="0" w:color="auto"/>
                        <w:bottom w:val="none" w:sz="0" w:space="0" w:color="auto"/>
                        <w:right w:val="none" w:sz="0" w:space="0" w:color="auto"/>
                      </w:divBdr>
                    </w:div>
                    <w:div w:id="554898428">
                      <w:marLeft w:val="0"/>
                      <w:marRight w:val="0"/>
                      <w:marTop w:val="0"/>
                      <w:marBottom w:val="0"/>
                      <w:divBdr>
                        <w:top w:val="none" w:sz="0" w:space="0" w:color="auto"/>
                        <w:left w:val="none" w:sz="0" w:space="0" w:color="auto"/>
                        <w:bottom w:val="none" w:sz="0" w:space="0" w:color="auto"/>
                        <w:right w:val="none" w:sz="0" w:space="0" w:color="auto"/>
                      </w:divBdr>
                    </w:div>
                    <w:div w:id="1004866915">
                      <w:marLeft w:val="0"/>
                      <w:marRight w:val="0"/>
                      <w:marTop w:val="0"/>
                      <w:marBottom w:val="0"/>
                      <w:divBdr>
                        <w:top w:val="none" w:sz="0" w:space="0" w:color="auto"/>
                        <w:left w:val="none" w:sz="0" w:space="0" w:color="auto"/>
                        <w:bottom w:val="none" w:sz="0" w:space="0" w:color="auto"/>
                        <w:right w:val="none" w:sz="0" w:space="0" w:color="auto"/>
                      </w:divBdr>
                    </w:div>
                    <w:div w:id="1145125527">
                      <w:marLeft w:val="0"/>
                      <w:marRight w:val="0"/>
                      <w:marTop w:val="0"/>
                      <w:marBottom w:val="0"/>
                      <w:divBdr>
                        <w:top w:val="none" w:sz="0" w:space="0" w:color="auto"/>
                        <w:left w:val="none" w:sz="0" w:space="0" w:color="auto"/>
                        <w:bottom w:val="none" w:sz="0" w:space="0" w:color="auto"/>
                        <w:right w:val="none" w:sz="0" w:space="0" w:color="auto"/>
                      </w:divBdr>
                    </w:div>
                    <w:div w:id="1277710746">
                      <w:blockQuote w:val="1"/>
                      <w:marLeft w:val="720"/>
                      <w:marRight w:val="0"/>
                      <w:marTop w:val="100"/>
                      <w:marBottom w:val="100"/>
                      <w:divBdr>
                        <w:top w:val="none" w:sz="0" w:space="0" w:color="auto"/>
                        <w:left w:val="none" w:sz="0" w:space="0" w:color="auto"/>
                        <w:bottom w:val="none" w:sz="0" w:space="0" w:color="auto"/>
                        <w:right w:val="none" w:sz="0" w:space="0" w:color="auto"/>
                      </w:divBdr>
                    </w:div>
                    <w:div w:id="1412578308">
                      <w:marLeft w:val="0"/>
                      <w:marRight w:val="0"/>
                      <w:marTop w:val="0"/>
                      <w:marBottom w:val="0"/>
                      <w:divBdr>
                        <w:top w:val="none" w:sz="0" w:space="0" w:color="auto"/>
                        <w:left w:val="none" w:sz="0" w:space="0" w:color="auto"/>
                        <w:bottom w:val="none" w:sz="0" w:space="0" w:color="auto"/>
                        <w:right w:val="none" w:sz="0" w:space="0" w:color="auto"/>
                      </w:divBdr>
                    </w:div>
                    <w:div w:id="1846629073">
                      <w:marLeft w:val="0"/>
                      <w:marRight w:val="0"/>
                      <w:marTop w:val="0"/>
                      <w:marBottom w:val="0"/>
                      <w:divBdr>
                        <w:top w:val="none" w:sz="0" w:space="0" w:color="auto"/>
                        <w:left w:val="none" w:sz="0" w:space="0" w:color="auto"/>
                        <w:bottom w:val="none" w:sz="0" w:space="0" w:color="auto"/>
                        <w:right w:val="none" w:sz="0" w:space="0" w:color="auto"/>
                      </w:divBdr>
                    </w:div>
                  </w:divsChild>
                </w:div>
                <w:div w:id="1244490666">
                  <w:marLeft w:val="0"/>
                  <w:marRight w:val="0"/>
                  <w:marTop w:val="0"/>
                  <w:marBottom w:val="0"/>
                  <w:divBdr>
                    <w:top w:val="none" w:sz="0" w:space="0" w:color="auto"/>
                    <w:left w:val="none" w:sz="0" w:space="0" w:color="auto"/>
                    <w:bottom w:val="none" w:sz="0" w:space="0" w:color="auto"/>
                    <w:right w:val="none" w:sz="0" w:space="0" w:color="auto"/>
                  </w:divBdr>
                </w:div>
              </w:divsChild>
            </w:div>
            <w:div w:id="10896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6693">
      <w:bodyDiv w:val="1"/>
      <w:marLeft w:val="0"/>
      <w:marRight w:val="0"/>
      <w:marTop w:val="0"/>
      <w:marBottom w:val="0"/>
      <w:divBdr>
        <w:top w:val="none" w:sz="0" w:space="0" w:color="auto"/>
        <w:left w:val="none" w:sz="0" w:space="0" w:color="auto"/>
        <w:bottom w:val="none" w:sz="0" w:space="0" w:color="auto"/>
        <w:right w:val="none" w:sz="0" w:space="0" w:color="auto"/>
      </w:divBdr>
    </w:div>
    <w:div w:id="1710639260">
      <w:bodyDiv w:val="1"/>
      <w:marLeft w:val="0"/>
      <w:marRight w:val="0"/>
      <w:marTop w:val="0"/>
      <w:marBottom w:val="0"/>
      <w:divBdr>
        <w:top w:val="none" w:sz="0" w:space="0" w:color="auto"/>
        <w:left w:val="none" w:sz="0" w:space="0" w:color="auto"/>
        <w:bottom w:val="none" w:sz="0" w:space="0" w:color="auto"/>
        <w:right w:val="none" w:sz="0" w:space="0" w:color="auto"/>
      </w:divBdr>
    </w:div>
    <w:div w:id="21215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CRM_x0020_Navigation_x0020_URL"><![CDATA[https://crm.osd.mil/CATMS1/main.aspx?etn=ava_tasker&extraqs=id%3d%257b0beef8e7-4445-e711-80f1-0050569e783b%257d%26&pagetype=entityrecord, https://crm.osd.mil/CATMS1/main.aspx?etn=ava_tasker&extraqs=id%3d%257b0beef8e7-4445-e711-80f1-0050569e783b%257d%26&pagetype=entityrecord]]></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A45B51243A34D8CB209D4E27D0904" ma:contentTypeVersion="0" ma:contentTypeDescription="Create a new document." ma:contentTypeScope="" ma:versionID="a5b766d447c645fc35109c7f4801ab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8218-D6FB-4763-9363-831A82EA7255}">
  <ds:schemaRefs>
    <ds:schemaRef ds:uri="http://schemas.microsoft.com/sharepoint/v3/contenttype/forms"/>
  </ds:schemaRefs>
</ds:datastoreItem>
</file>

<file path=customXml/itemProps2.xml><?xml version="1.0" encoding="utf-8"?>
<ds:datastoreItem xmlns:ds="http://schemas.openxmlformats.org/officeDocument/2006/customXml" ds:itemID="{7B00981A-7128-435A-B89A-9BDE222458E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E1793B2-DDBD-4889-BC52-C290D74B9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C1A3E8-9054-4FFC-BFF3-E5D91D6A80A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59561EA6-4512-4BDB-A3FF-5D180A12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MEMORANDUM FOR ASSISTANT SECRETARY OF THE ARMY (M&amp;RA)</vt:lpstr>
    </vt:vector>
  </TitlesOfParts>
  <Company>DoD - Health Affairs</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ASSISTANT SECRETARY OF THE ARMY (M&amp;RA)</dc:title>
  <dc:subject/>
  <dc:creator>Jody W. Donehoo</dc:creator>
  <cp:keywords/>
  <cp:lastModifiedBy>Bootel, Jaclyn, CTR, DHA</cp:lastModifiedBy>
  <cp:revision>2</cp:revision>
  <cp:lastPrinted>2017-06-01T14:59:00Z</cp:lastPrinted>
  <dcterms:created xsi:type="dcterms:W3CDTF">2019-06-12T18:59:00Z</dcterms:created>
  <dcterms:modified xsi:type="dcterms:W3CDTF">2019-06-12T18:59:00Z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M Navigation URL">
    <vt:lpwstr>https://crm.osd.mil/CATMS1/main.aspx?etn=ava_tasker&amp;extraqs=id%3d%257b0beef8e7-4445-e711-80f1-0050569e783b%257d%26&amp;pagetype=entityrecord, https://crm.osd.mil/CATMS1/main.aspx?etn=ava_tasker&amp;extraqs=id%3d%257b0beef8e7-4445-e711-80f1-0050569e783b%257d%26&amp;pa</vt:lpwstr>
  </property>
  <property fmtid="{D5CDD505-2E9C-101B-9397-08002B2CF9AE}" pid="3" name="_dlc_DocId">
    <vt:lpwstr>UWJ6447YW2Z4-13-122383</vt:lpwstr>
  </property>
  <property fmtid="{D5CDD505-2E9C-101B-9397-08002B2CF9AE}" pid="4" name="_dlc_DocIdItemGuid">
    <vt:lpwstr>caa70878-59db-4e91-ba7e-585e41f20959</vt:lpwstr>
  </property>
  <property fmtid="{D5CDD505-2E9C-101B-9397-08002B2CF9AE}" pid="5" name="_dlc_DocIdUrl">
    <vt:lpwstr>https://leap.internal.hatma.dom/cases/_layouts/DocIdRedir.aspx?ID=UWJ6447YW2Z4-13-122383, UWJ6447YW2Z4-13-122383</vt:lpwstr>
  </property>
</Properties>
</file>